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7A194EA3" w:rsidR="008338E0" w:rsidRPr="002840F2" w:rsidRDefault="008338E0" w:rsidP="00B25729">
      <w:pPr>
        <w:pStyle w:val="Title"/>
        <w:spacing w:before="480"/>
        <w:jc w:val="center"/>
        <w:rPr>
          <w:rFonts w:ascii="Arial" w:hAnsi="Arial" w:cs="Arial"/>
        </w:rPr>
      </w:pPr>
      <w:r w:rsidRPr="002840F2">
        <w:rPr>
          <w:rFonts w:ascii="Arial" w:hAnsi="Arial" w:cs="Arial"/>
        </w:rPr>
        <w:t xml:space="preserve">Syllabus for </w:t>
      </w:r>
      <w:r w:rsidR="00B25729">
        <w:rPr>
          <w:rFonts w:ascii="Arial" w:hAnsi="Arial" w:cs="Arial"/>
        </w:rPr>
        <w:br/>
      </w:r>
      <w:r w:rsidR="00B25729" w:rsidRPr="00B25729">
        <w:rPr>
          <w:rFonts w:ascii="Arial" w:hAnsi="Arial" w:cs="Arial"/>
        </w:rPr>
        <w:t>Intro To Computer Aid</w:t>
      </w:r>
      <w:r w:rsidR="00B25729">
        <w:rPr>
          <w:rFonts w:ascii="Arial" w:hAnsi="Arial" w:cs="Arial"/>
        </w:rPr>
        <w:t>ed</w:t>
      </w:r>
      <w:r w:rsidR="00B25729" w:rsidRPr="00B25729">
        <w:rPr>
          <w:rFonts w:ascii="Arial" w:hAnsi="Arial" w:cs="Arial"/>
        </w:rPr>
        <w:t xml:space="preserve"> Drafting</w:t>
      </w:r>
    </w:p>
    <w:p w14:paraId="43EEB450" w14:textId="0E15DDD6" w:rsidR="008338E0" w:rsidRPr="002840F2" w:rsidRDefault="00B25729" w:rsidP="007F68EF">
      <w:pPr>
        <w:jc w:val="center"/>
        <w:rPr>
          <w:rFonts w:ascii="Arial" w:hAnsi="Arial" w:cs="Arial"/>
        </w:rPr>
      </w:pPr>
      <w:r>
        <w:rPr>
          <w:rFonts w:ascii="Arial" w:hAnsi="Arial" w:cs="Arial"/>
        </w:rPr>
        <w:t>3 Credits</w:t>
      </w:r>
      <w:r w:rsidR="008338E0" w:rsidRPr="002840F2">
        <w:rPr>
          <w:rFonts w:ascii="Arial" w:hAnsi="Arial" w:cs="Arial"/>
        </w:rPr>
        <w:br/>
      </w:r>
      <w:r>
        <w:rPr>
          <w:rFonts w:ascii="Arial" w:hAnsi="Arial" w:cs="Arial"/>
        </w:rPr>
        <w:t>CIS 140</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4F36AB4B" w14:textId="77777777" w:rsidR="00B25729" w:rsidRPr="00B25729" w:rsidRDefault="00B25729" w:rsidP="00B25729">
      <w:pPr>
        <w:rPr>
          <w:rFonts w:ascii="Arial" w:hAnsi="Arial" w:cs="Arial"/>
        </w:rPr>
      </w:pPr>
      <w:bookmarkStart w:id="1" w:name="_omjv108ui2x4" w:colFirst="0" w:colLast="0"/>
      <w:bookmarkEnd w:id="1"/>
      <w:r w:rsidRPr="00B25729">
        <w:rPr>
          <w:rFonts w:ascii="Arial" w:hAnsi="Arial" w:cs="Arial"/>
        </w:rPr>
        <w:t xml:space="preserve">This course teaches the basics of computer aided drafting as applied to engineering drawings using the AutoCAD drafting package. Topics include: Fundamentals of computer aided drafting, drafting equipment, orthographic representations, special views, applied geometry and drawing conventions, basic dimensioning, section views, thread representation, detail and assembly drawings, auxiliary views, isometric and other pictorial drawings, geometric dimensioning and tolerancing.  The student will then learn the fundamentals of 3D solids and sheet metal designs using the Autodesk Inventor package. </w:t>
      </w:r>
    </w:p>
    <w:p w14:paraId="406A206A" w14:textId="77777777" w:rsidR="008338E0" w:rsidRPr="002840F2" w:rsidRDefault="008338E0" w:rsidP="008338E0">
      <w:pPr>
        <w:pStyle w:val="Heading1"/>
        <w:rPr>
          <w:rFonts w:ascii="Arial" w:hAnsi="Arial" w:cs="Arial"/>
        </w:rPr>
      </w:pPr>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lastRenderedPageBreak/>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73806588" w14:textId="227DB3B9" w:rsidR="00B25729" w:rsidRDefault="00B25729" w:rsidP="008338E0">
      <w:pPr>
        <w:rPr>
          <w:rFonts w:ascii="Arial" w:hAnsi="Arial" w:cs="Arial"/>
        </w:rPr>
      </w:pPr>
      <w:r>
        <w:rPr>
          <w:rFonts w:ascii="Arial" w:hAnsi="Arial" w:cs="Arial"/>
        </w:rPr>
        <w:t>Upon course completion students will be able to:</w:t>
      </w:r>
    </w:p>
    <w:p w14:paraId="4B647688" w14:textId="69D29570" w:rsidR="00B25729" w:rsidRDefault="00B25729" w:rsidP="00B25729">
      <w:pPr>
        <w:pStyle w:val="ListParagraph"/>
        <w:numPr>
          <w:ilvl w:val="0"/>
          <w:numId w:val="37"/>
        </w:numPr>
        <w:rPr>
          <w:rFonts w:ascii="Arial" w:hAnsi="Arial" w:cs="Arial"/>
        </w:rPr>
      </w:pPr>
      <w:r>
        <w:rPr>
          <w:rFonts w:ascii="Arial" w:hAnsi="Arial" w:cs="Arial"/>
        </w:rPr>
        <w:t>Describe the nature and characteristics of the AutoCAD drafting package</w:t>
      </w:r>
    </w:p>
    <w:p w14:paraId="4EBBD0CA" w14:textId="09A59564" w:rsidR="00B25729" w:rsidRDefault="00B25729" w:rsidP="00B25729">
      <w:pPr>
        <w:pStyle w:val="ListParagraph"/>
        <w:numPr>
          <w:ilvl w:val="0"/>
          <w:numId w:val="37"/>
        </w:numPr>
        <w:rPr>
          <w:rFonts w:ascii="Arial" w:hAnsi="Arial" w:cs="Arial"/>
        </w:rPr>
      </w:pPr>
      <w:r>
        <w:rPr>
          <w:rFonts w:ascii="Arial" w:hAnsi="Arial" w:cs="Arial"/>
        </w:rPr>
        <w:t>Identify current practices as well as accepted concepts and principles of computer drafting</w:t>
      </w:r>
    </w:p>
    <w:p w14:paraId="3060DB85" w14:textId="05C62884" w:rsidR="00B25729" w:rsidRDefault="00B25729" w:rsidP="00B25729">
      <w:pPr>
        <w:pStyle w:val="ListParagraph"/>
        <w:numPr>
          <w:ilvl w:val="0"/>
          <w:numId w:val="37"/>
        </w:numPr>
        <w:rPr>
          <w:rFonts w:ascii="Arial" w:hAnsi="Arial" w:cs="Arial"/>
        </w:rPr>
      </w:pPr>
      <w:r>
        <w:rPr>
          <w:rFonts w:ascii="Arial" w:hAnsi="Arial" w:cs="Arial"/>
        </w:rPr>
        <w:t>Demonstrate an understanding of basic dimensioning, section views, detail and assembly drawings</w:t>
      </w:r>
    </w:p>
    <w:p w14:paraId="1E0CF80B" w14:textId="5CF4B52A" w:rsidR="00B25729" w:rsidRDefault="00B25729" w:rsidP="00B25729">
      <w:pPr>
        <w:pStyle w:val="ListParagraph"/>
        <w:numPr>
          <w:ilvl w:val="0"/>
          <w:numId w:val="37"/>
        </w:numPr>
        <w:rPr>
          <w:rFonts w:ascii="Arial" w:hAnsi="Arial" w:cs="Arial"/>
        </w:rPr>
      </w:pPr>
      <w:r>
        <w:rPr>
          <w:rFonts w:ascii="Arial" w:hAnsi="Arial" w:cs="Arial"/>
        </w:rPr>
        <w:t>Identify the fundamentals of 3D solids and designs</w:t>
      </w:r>
    </w:p>
    <w:p w14:paraId="32D703FF" w14:textId="18929713" w:rsidR="00B25729" w:rsidRPr="00B25729" w:rsidRDefault="00B25729" w:rsidP="00B25729">
      <w:pPr>
        <w:pStyle w:val="ListParagraph"/>
        <w:numPr>
          <w:ilvl w:val="0"/>
          <w:numId w:val="37"/>
        </w:numPr>
        <w:rPr>
          <w:rFonts w:ascii="Arial" w:hAnsi="Arial" w:cs="Arial"/>
        </w:rPr>
      </w:pPr>
      <w:r>
        <w:rPr>
          <w:rFonts w:ascii="Arial" w:hAnsi="Arial" w:cs="Arial"/>
        </w:rPr>
        <w:t>Compare and contrast different Orthographic representations.</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684DAE69" w:rsidR="008338E0" w:rsidRPr="002840F2" w:rsidRDefault="008338E0" w:rsidP="008338E0">
      <w:pPr>
        <w:rPr>
          <w:rFonts w:ascii="Arial" w:hAnsi="Arial" w:cs="Arial"/>
          <w:color w:val="1155CC"/>
        </w:rPr>
      </w:pPr>
      <w:r w:rsidRPr="002840F2">
        <w:rPr>
          <w:rFonts w:ascii="Arial" w:hAnsi="Arial" w:cs="Arial"/>
        </w:rPr>
        <w:t>[</w:t>
      </w:r>
      <w:r w:rsidR="00821F11">
        <w:rPr>
          <w:rFonts w:ascii="Arial" w:hAnsi="Arial" w:cs="Arial"/>
        </w:rPr>
        <w:t>Include co/prerequisites if applicable</w:t>
      </w:r>
      <w:r w:rsidRPr="002840F2">
        <w:rPr>
          <w:rFonts w:ascii="Arial" w:hAnsi="Arial" w:cs="Arial"/>
        </w:rPr>
        <w:t xml:space="preserve">. </w:t>
      </w:r>
      <w:r w:rsidR="00A3623F" w:rsidRPr="002840F2">
        <w:rPr>
          <w:rStyle w:val="markedcontent"/>
          <w:rFonts w:ascii="Arial" w:hAnsi="Arial" w:cs="Arial"/>
          <w:b/>
        </w:rPr>
        <w:t>Remove this text</w:t>
      </w:r>
      <w:r w:rsidRPr="002840F2">
        <w:rPr>
          <w:rFonts w:ascii="Arial" w:hAnsi="Arial" w:cs="Arial"/>
          <w:b/>
        </w:rPr>
        <w:t>.</w:t>
      </w:r>
      <w:r w:rsidRPr="002840F2">
        <w:rPr>
          <w:rFonts w:ascii="Arial" w:hAnsi="Arial" w:cs="Arial"/>
        </w:rPr>
        <w: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2B2BADF1" w:rsidR="008338E0" w:rsidRPr="00DE29D0" w:rsidRDefault="00DE29D0" w:rsidP="00DE29D0">
      <w:pP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Representative Texts: </w:t>
      </w:r>
      <w:r>
        <w:rPr>
          <w:sz w:val="24"/>
          <w:szCs w:val="24"/>
        </w:rPr>
        <w:br/>
      </w:r>
      <w:r>
        <w:rPr>
          <w:sz w:val="24"/>
          <w:szCs w:val="24"/>
          <w:u w:val="single"/>
        </w:rPr>
        <w:t>AutoCAD 2006 Tutorial, First Level: 2D Fundamentals</w:t>
      </w:r>
      <w:r>
        <w:rPr>
          <w:sz w:val="24"/>
          <w:szCs w:val="24"/>
        </w:rPr>
        <w:t>; Randy H. Shih; (for additional cost, some texts have a 180 day copy of the software for home use); current edition</w:t>
      </w:r>
      <w:r w:rsidR="00841D7E">
        <w:rPr>
          <w:sz w:val="24"/>
          <w:szCs w:val="24"/>
        </w:rPr>
        <w:br/>
      </w:r>
      <w:bookmarkStart w:id="4" w:name="_GoBack"/>
      <w:bookmarkEnd w:id="4"/>
      <w:r>
        <w:rPr>
          <w:sz w:val="24"/>
          <w:szCs w:val="24"/>
          <w:u w:val="single"/>
        </w:rPr>
        <w:t>Parametric Modeling with Autodesk Inventor R10</w:t>
      </w:r>
      <w:r>
        <w:rPr>
          <w:sz w:val="24"/>
          <w:szCs w:val="24"/>
        </w:rPr>
        <w:t>; Randy H. Shih; current edition.</w:t>
      </w:r>
    </w:p>
    <w:p w14:paraId="3E6A9D3F" w14:textId="77777777" w:rsidR="008338E0" w:rsidRPr="002840F2" w:rsidRDefault="008338E0" w:rsidP="008338E0">
      <w:pPr>
        <w:pStyle w:val="Heading1"/>
        <w:rPr>
          <w:rFonts w:ascii="Arial" w:hAnsi="Arial" w:cs="Arial"/>
        </w:rPr>
      </w:pPr>
      <w:bookmarkStart w:id="5" w:name="_iyvnhe7hjsax" w:colFirst="0" w:colLast="0"/>
      <w:bookmarkEnd w:id="5"/>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6" w:name="_m9nyyzoco0v6" w:colFirst="0" w:colLast="0"/>
      <w:bookmarkEnd w:id="6"/>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w:t>
      </w:r>
      <w:r w:rsidRPr="002840F2">
        <w:rPr>
          <w:rFonts w:ascii="Arial" w:hAnsi="Arial" w:cs="Arial"/>
        </w:rPr>
        <w:lastRenderedPageBreak/>
        <w:t xml:space="preserve">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7" w:name="_10t7krz464yt" w:colFirst="0" w:colLast="0"/>
      <w:bookmarkEnd w:id="7"/>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8" w:name="_v4talfql3hn5" w:colFirst="0" w:colLast="0"/>
      <w:bookmarkEnd w:id="8"/>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9" w:name="_6vffxxiiydcd" w:colFirst="0" w:colLast="0"/>
      <w:bookmarkEnd w:id="9"/>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10" w:name="_km5tff1wy0vx" w:colFirst="0" w:colLast="0"/>
      <w:bookmarkEnd w:id="10"/>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 xml:space="preserve">Provide a description of any content, e.g., readings, lectures, presentations, videos, audio podcasts, etc., in the </w:t>
      </w:r>
      <w:r>
        <w:rPr>
          <w:rStyle w:val="markedcontent"/>
          <w:rFonts w:ascii="Arial" w:hAnsi="Arial" w:cs="Arial"/>
        </w:rPr>
        <w:lastRenderedPageBreak/>
        <w:t>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1" w:name="_irei0b9oc4jh" w:colFirst="0" w:colLast="0"/>
      <w:bookmarkEnd w:id="11"/>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2" w:name="_hgjgr84ifoy" w:colFirst="0" w:colLast="0"/>
      <w:bookmarkEnd w:id="12"/>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3" w:name="_63bczm8ssvsf" w:colFirst="0" w:colLast="0"/>
      <w:bookmarkEnd w:id="13"/>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4" w:name="_5wyljs1145ji" w:colFirst="0" w:colLast="0"/>
      <w:bookmarkEnd w:id="14"/>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5" w:name="_3jqshq7mvden" w:colFirst="0" w:colLast="0"/>
      <w:bookmarkEnd w:id="15"/>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lastRenderedPageBreak/>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6" w:name="_88dzf53gg25m" w:colFirst="0" w:colLast="0"/>
      <w:bookmarkEnd w:id="16"/>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7" w:name="_g2m7hh8mqzmj" w:colFirst="0" w:colLast="0"/>
      <w:bookmarkEnd w:id="17"/>
      <w:r w:rsidRPr="002840F2">
        <w:rPr>
          <w:rFonts w:ascii="Arial" w:hAnsi="Arial" w:cs="Arial"/>
        </w:rPr>
        <w:t>Course Schedule</w:t>
      </w:r>
    </w:p>
    <w:p w14:paraId="51FF8501" w14:textId="77777777" w:rsidR="00DE29D0" w:rsidRDefault="00DE29D0" w:rsidP="00DE29D0">
      <w:pPr>
        <w:rPr>
          <w:rStyle w:val="markedcontent"/>
          <w:rFonts w:ascii="Arial" w:hAnsi="Arial" w:cs="Arial"/>
          <w:b/>
        </w:rPr>
      </w:pPr>
      <w:r>
        <w:rPr>
          <w:rFonts w:ascii="Arial" w:hAnsi="Arial" w:cs="Arial"/>
        </w:rPr>
        <w:t>Course Outline</w:t>
      </w:r>
      <w:r>
        <w:rPr>
          <w:rFonts w:ascii="Arial" w:hAnsi="Arial" w:cs="Arial"/>
        </w:rPr>
        <w:br/>
      </w:r>
      <w:r>
        <w:rPr>
          <w:rFonts w:ascii="Arial" w:hAnsi="Arial" w:cs="Arial"/>
        </w:rPr>
        <w:br/>
      </w:r>
    </w:p>
    <w:tbl>
      <w:tblPr>
        <w:tblStyle w:val="TableGrid"/>
        <w:tblW w:w="0" w:type="auto"/>
        <w:tblLook w:val="04A0" w:firstRow="1" w:lastRow="0" w:firstColumn="1" w:lastColumn="0" w:noHBand="0" w:noVBand="1"/>
      </w:tblPr>
      <w:tblGrid>
        <w:gridCol w:w="985"/>
        <w:gridCol w:w="6210"/>
        <w:gridCol w:w="2155"/>
      </w:tblGrid>
      <w:tr w:rsidR="00DE29D0" w14:paraId="70D802E8" w14:textId="77777777" w:rsidTr="00DE29D0">
        <w:tc>
          <w:tcPr>
            <w:tcW w:w="985" w:type="dxa"/>
          </w:tcPr>
          <w:p w14:paraId="0BB6D20B" w14:textId="6FA769DB" w:rsidR="00DE29D0" w:rsidRDefault="00DE29D0" w:rsidP="00DE29D0">
            <w:pPr>
              <w:rPr>
                <w:rStyle w:val="markedcontent"/>
                <w:rFonts w:ascii="Arial" w:hAnsi="Arial" w:cs="Arial"/>
                <w:b/>
              </w:rPr>
            </w:pPr>
            <w:r>
              <w:rPr>
                <w:rStyle w:val="markedcontent"/>
                <w:rFonts w:ascii="Arial" w:hAnsi="Arial" w:cs="Arial"/>
                <w:b/>
              </w:rPr>
              <w:lastRenderedPageBreak/>
              <w:t>Week</w:t>
            </w:r>
          </w:p>
        </w:tc>
        <w:tc>
          <w:tcPr>
            <w:tcW w:w="6210" w:type="dxa"/>
          </w:tcPr>
          <w:p w14:paraId="7FA4AB09" w14:textId="1D359C8F" w:rsidR="00DE29D0" w:rsidRDefault="00DE29D0" w:rsidP="00DE29D0">
            <w:pPr>
              <w:rPr>
                <w:rStyle w:val="markedcontent"/>
                <w:rFonts w:ascii="Arial" w:hAnsi="Arial" w:cs="Arial"/>
                <w:b/>
              </w:rPr>
            </w:pPr>
            <w:r>
              <w:rPr>
                <w:rStyle w:val="markedcontent"/>
                <w:rFonts w:ascii="Arial" w:hAnsi="Arial" w:cs="Arial"/>
                <w:b/>
              </w:rPr>
              <w:t>Topics</w:t>
            </w:r>
          </w:p>
        </w:tc>
        <w:tc>
          <w:tcPr>
            <w:tcW w:w="2155" w:type="dxa"/>
          </w:tcPr>
          <w:p w14:paraId="6B427D91" w14:textId="3DB1E1D4" w:rsidR="00DE29D0" w:rsidRDefault="00DE29D0" w:rsidP="00DE29D0">
            <w:pPr>
              <w:rPr>
                <w:rStyle w:val="markedcontent"/>
                <w:rFonts w:ascii="Arial" w:hAnsi="Arial" w:cs="Arial"/>
                <w:b/>
              </w:rPr>
            </w:pPr>
            <w:r>
              <w:rPr>
                <w:rStyle w:val="markedcontent"/>
                <w:rFonts w:ascii="Arial" w:hAnsi="Arial" w:cs="Arial"/>
                <w:b/>
              </w:rPr>
              <w:t>Lab</w:t>
            </w:r>
          </w:p>
        </w:tc>
      </w:tr>
      <w:tr w:rsidR="00DE29D0" w14:paraId="48F9B020" w14:textId="77777777" w:rsidTr="00DE29D0">
        <w:tc>
          <w:tcPr>
            <w:tcW w:w="985" w:type="dxa"/>
          </w:tcPr>
          <w:p w14:paraId="29F47964" w14:textId="6C315AA7" w:rsidR="00DE29D0" w:rsidRDefault="00DE29D0" w:rsidP="00DE29D0">
            <w:pPr>
              <w:rPr>
                <w:rStyle w:val="markedcontent"/>
                <w:rFonts w:ascii="Arial" w:hAnsi="Arial" w:cs="Arial"/>
                <w:b/>
              </w:rPr>
            </w:pPr>
            <w:r>
              <w:rPr>
                <w:rStyle w:val="markedcontent"/>
                <w:rFonts w:ascii="Arial" w:hAnsi="Arial" w:cs="Arial"/>
                <w:b/>
              </w:rPr>
              <w:t>1</w:t>
            </w:r>
          </w:p>
        </w:tc>
        <w:tc>
          <w:tcPr>
            <w:tcW w:w="6210" w:type="dxa"/>
          </w:tcPr>
          <w:p w14:paraId="22E1B597" w14:textId="64197C21" w:rsidR="00DE29D0" w:rsidRDefault="00DE29D0" w:rsidP="00DE29D0">
            <w:pPr>
              <w:rPr>
                <w:rStyle w:val="markedcontent"/>
                <w:rFonts w:ascii="Arial" w:hAnsi="Arial" w:cs="Arial"/>
                <w:b/>
              </w:rPr>
            </w:pPr>
            <w:r>
              <w:rPr>
                <w:rStyle w:val="markedcontent"/>
                <w:rFonts w:ascii="Arial" w:hAnsi="Arial" w:cs="Arial"/>
                <w:b/>
              </w:rPr>
              <w:t>Intro, AutoCAD 2006, startup, toolbars, command line, Units, Limits, Grid, Line, Erase, Undo, Snap Coordinates, Polar Lines</w:t>
            </w:r>
          </w:p>
        </w:tc>
        <w:tc>
          <w:tcPr>
            <w:tcW w:w="2155" w:type="dxa"/>
          </w:tcPr>
          <w:p w14:paraId="4800278A" w14:textId="054AC53F" w:rsidR="00DE29D0" w:rsidRDefault="00DE29D0" w:rsidP="00DE29D0">
            <w:pPr>
              <w:rPr>
                <w:rStyle w:val="markedcontent"/>
                <w:rFonts w:ascii="Arial" w:hAnsi="Arial" w:cs="Arial"/>
                <w:b/>
              </w:rPr>
            </w:pPr>
            <w:r>
              <w:rPr>
                <w:rStyle w:val="markedcontent"/>
                <w:rFonts w:ascii="Arial" w:hAnsi="Arial" w:cs="Arial"/>
                <w:b/>
              </w:rPr>
              <w:t>Lab Drawing 1</w:t>
            </w:r>
          </w:p>
        </w:tc>
      </w:tr>
      <w:tr w:rsidR="00DE29D0" w14:paraId="62F1A2F6" w14:textId="77777777" w:rsidTr="00DE29D0">
        <w:tc>
          <w:tcPr>
            <w:tcW w:w="985" w:type="dxa"/>
          </w:tcPr>
          <w:p w14:paraId="2DE6910B" w14:textId="7F80B182" w:rsidR="00DE29D0" w:rsidRDefault="00DE29D0" w:rsidP="00DE29D0">
            <w:pPr>
              <w:rPr>
                <w:rStyle w:val="markedcontent"/>
                <w:rFonts w:ascii="Arial" w:hAnsi="Arial" w:cs="Arial"/>
                <w:b/>
              </w:rPr>
            </w:pPr>
            <w:r>
              <w:rPr>
                <w:rStyle w:val="markedcontent"/>
                <w:rFonts w:ascii="Arial" w:hAnsi="Arial" w:cs="Arial"/>
                <w:b/>
              </w:rPr>
              <w:t>2</w:t>
            </w:r>
          </w:p>
        </w:tc>
        <w:tc>
          <w:tcPr>
            <w:tcW w:w="6210" w:type="dxa"/>
          </w:tcPr>
          <w:p w14:paraId="01572F89" w14:textId="2260C6CB" w:rsidR="00DE29D0" w:rsidRDefault="00DE29D0" w:rsidP="00DE29D0">
            <w:pPr>
              <w:rPr>
                <w:rStyle w:val="markedcontent"/>
                <w:rFonts w:ascii="Arial" w:hAnsi="Arial" w:cs="Arial"/>
                <w:b/>
              </w:rPr>
            </w:pPr>
            <w:r>
              <w:rPr>
                <w:rStyle w:val="markedcontent"/>
                <w:rFonts w:ascii="Arial" w:hAnsi="Arial" w:cs="Arial"/>
                <w:b/>
              </w:rPr>
              <w:t>Grid, Snap, Object Snap, Extend, Trim, TTR, Fillet, Offset, Explode</w:t>
            </w:r>
          </w:p>
        </w:tc>
        <w:tc>
          <w:tcPr>
            <w:tcW w:w="2155" w:type="dxa"/>
          </w:tcPr>
          <w:p w14:paraId="08C75AC3" w14:textId="49386D4C" w:rsidR="00DE29D0" w:rsidRDefault="00DE29D0" w:rsidP="00DE29D0">
            <w:pPr>
              <w:rPr>
                <w:rStyle w:val="markedcontent"/>
                <w:rFonts w:ascii="Arial" w:hAnsi="Arial" w:cs="Arial"/>
                <w:b/>
              </w:rPr>
            </w:pPr>
            <w:r>
              <w:rPr>
                <w:rStyle w:val="markedcontent"/>
                <w:rFonts w:ascii="Arial" w:hAnsi="Arial" w:cs="Arial"/>
                <w:b/>
              </w:rPr>
              <w:t>Lab Drawing 1</w:t>
            </w:r>
          </w:p>
        </w:tc>
      </w:tr>
      <w:tr w:rsidR="00DE29D0" w14:paraId="4701F0A0" w14:textId="77777777" w:rsidTr="00DE29D0">
        <w:tc>
          <w:tcPr>
            <w:tcW w:w="985" w:type="dxa"/>
          </w:tcPr>
          <w:p w14:paraId="6B059E94" w14:textId="35D44451" w:rsidR="00DE29D0" w:rsidRDefault="00DE29D0" w:rsidP="00DE29D0">
            <w:pPr>
              <w:rPr>
                <w:rStyle w:val="markedcontent"/>
                <w:rFonts w:ascii="Arial" w:hAnsi="Arial" w:cs="Arial"/>
                <w:b/>
              </w:rPr>
            </w:pPr>
            <w:r>
              <w:rPr>
                <w:rStyle w:val="markedcontent"/>
                <w:rFonts w:ascii="Arial" w:hAnsi="Arial" w:cs="Arial"/>
                <w:b/>
              </w:rPr>
              <w:t>3</w:t>
            </w:r>
          </w:p>
        </w:tc>
        <w:tc>
          <w:tcPr>
            <w:tcW w:w="6210" w:type="dxa"/>
          </w:tcPr>
          <w:p w14:paraId="51A188CE" w14:textId="51423DCC" w:rsidR="00DE29D0" w:rsidRDefault="00DE29D0" w:rsidP="00DE29D0">
            <w:pPr>
              <w:rPr>
                <w:rStyle w:val="markedcontent"/>
                <w:rFonts w:ascii="Arial" w:hAnsi="Arial" w:cs="Arial"/>
                <w:b/>
              </w:rPr>
            </w:pPr>
            <w:r>
              <w:rPr>
                <w:rStyle w:val="markedcontent"/>
                <w:rFonts w:ascii="Arial" w:hAnsi="Arial" w:cs="Arial"/>
                <w:b/>
              </w:rPr>
              <w:t>Units, Grid, Snap, Zoom, Multiline, Multiline Edit, Layers</w:t>
            </w:r>
          </w:p>
        </w:tc>
        <w:tc>
          <w:tcPr>
            <w:tcW w:w="2155" w:type="dxa"/>
          </w:tcPr>
          <w:p w14:paraId="3D0A162F" w14:textId="3301CFCE" w:rsidR="00DE29D0" w:rsidRDefault="00DE29D0" w:rsidP="00DE29D0">
            <w:pPr>
              <w:rPr>
                <w:rStyle w:val="markedcontent"/>
                <w:rFonts w:ascii="Arial" w:hAnsi="Arial" w:cs="Arial"/>
                <w:b/>
              </w:rPr>
            </w:pPr>
            <w:r>
              <w:rPr>
                <w:rStyle w:val="markedcontent"/>
                <w:rFonts w:ascii="Arial" w:hAnsi="Arial" w:cs="Arial"/>
                <w:b/>
              </w:rPr>
              <w:t>Lab Drawing 2</w:t>
            </w:r>
          </w:p>
        </w:tc>
      </w:tr>
      <w:tr w:rsidR="00DE29D0" w14:paraId="5A64AA43" w14:textId="77777777" w:rsidTr="00DE29D0">
        <w:tc>
          <w:tcPr>
            <w:tcW w:w="985" w:type="dxa"/>
          </w:tcPr>
          <w:p w14:paraId="30790504" w14:textId="3D29094C" w:rsidR="00DE29D0" w:rsidRDefault="00DE29D0" w:rsidP="00DE29D0">
            <w:pPr>
              <w:rPr>
                <w:rStyle w:val="markedcontent"/>
                <w:rFonts w:ascii="Arial" w:hAnsi="Arial" w:cs="Arial"/>
                <w:b/>
              </w:rPr>
            </w:pPr>
            <w:r>
              <w:rPr>
                <w:rStyle w:val="markedcontent"/>
                <w:rFonts w:ascii="Arial" w:hAnsi="Arial" w:cs="Arial"/>
                <w:b/>
              </w:rPr>
              <w:t>4</w:t>
            </w:r>
          </w:p>
        </w:tc>
        <w:tc>
          <w:tcPr>
            <w:tcW w:w="6210" w:type="dxa"/>
          </w:tcPr>
          <w:p w14:paraId="2DC22A98" w14:textId="740347E5" w:rsidR="00DE29D0" w:rsidRDefault="00DE29D0" w:rsidP="00DE29D0">
            <w:pPr>
              <w:rPr>
                <w:rStyle w:val="markedcontent"/>
                <w:rFonts w:ascii="Arial" w:hAnsi="Arial" w:cs="Arial"/>
                <w:b/>
              </w:rPr>
            </w:pPr>
            <w:r>
              <w:rPr>
                <w:rStyle w:val="markedcontent"/>
                <w:rFonts w:ascii="Arial" w:hAnsi="Arial" w:cs="Arial"/>
                <w:b/>
              </w:rPr>
              <w:t xml:space="preserve">Orthographic views, Grid, Snap, Layers, Offset, Construction Line, </w:t>
            </w:r>
            <w:proofErr w:type="spellStart"/>
            <w:r>
              <w:rPr>
                <w:rStyle w:val="markedcontent"/>
                <w:rFonts w:ascii="Arial" w:hAnsi="Arial" w:cs="Arial"/>
                <w:b/>
              </w:rPr>
              <w:t>O’Snap</w:t>
            </w:r>
            <w:proofErr w:type="spellEnd"/>
          </w:p>
        </w:tc>
        <w:tc>
          <w:tcPr>
            <w:tcW w:w="2155" w:type="dxa"/>
          </w:tcPr>
          <w:p w14:paraId="0CE8CF48" w14:textId="34770821" w:rsidR="00DE29D0" w:rsidRDefault="00DE29D0" w:rsidP="00DE29D0">
            <w:pPr>
              <w:rPr>
                <w:rStyle w:val="markedcontent"/>
                <w:rFonts w:ascii="Arial" w:hAnsi="Arial" w:cs="Arial"/>
                <w:b/>
              </w:rPr>
            </w:pPr>
            <w:r>
              <w:rPr>
                <w:rStyle w:val="markedcontent"/>
                <w:rFonts w:ascii="Arial" w:hAnsi="Arial" w:cs="Arial"/>
                <w:b/>
              </w:rPr>
              <w:t>Lab Drawing 2</w:t>
            </w:r>
          </w:p>
        </w:tc>
      </w:tr>
      <w:tr w:rsidR="00DE29D0" w14:paraId="51722EAA" w14:textId="77777777" w:rsidTr="00DE29D0">
        <w:tc>
          <w:tcPr>
            <w:tcW w:w="985" w:type="dxa"/>
          </w:tcPr>
          <w:p w14:paraId="62E4B384" w14:textId="4AEFB204" w:rsidR="00DE29D0" w:rsidRDefault="00DE29D0" w:rsidP="00DE29D0">
            <w:pPr>
              <w:rPr>
                <w:rStyle w:val="markedcontent"/>
                <w:rFonts w:ascii="Arial" w:hAnsi="Arial" w:cs="Arial"/>
                <w:b/>
              </w:rPr>
            </w:pPr>
            <w:r>
              <w:rPr>
                <w:rStyle w:val="markedcontent"/>
                <w:rFonts w:ascii="Arial" w:hAnsi="Arial" w:cs="Arial"/>
                <w:b/>
              </w:rPr>
              <w:t>5-6</w:t>
            </w:r>
          </w:p>
        </w:tc>
        <w:tc>
          <w:tcPr>
            <w:tcW w:w="6210" w:type="dxa"/>
          </w:tcPr>
          <w:p w14:paraId="7AC7AD5C" w14:textId="005C6D02" w:rsidR="00DE29D0" w:rsidRDefault="00DE29D0" w:rsidP="00DE29D0">
            <w:pPr>
              <w:rPr>
                <w:rStyle w:val="markedcontent"/>
                <w:rFonts w:ascii="Arial" w:hAnsi="Arial" w:cs="Arial"/>
                <w:b/>
              </w:rPr>
            </w:pPr>
            <w:r>
              <w:rPr>
                <w:rStyle w:val="markedcontent"/>
                <w:rFonts w:ascii="Arial" w:hAnsi="Arial" w:cs="Arial"/>
                <w:b/>
              </w:rPr>
              <w:t>Dimensioning, Text Commands</w:t>
            </w:r>
          </w:p>
        </w:tc>
        <w:tc>
          <w:tcPr>
            <w:tcW w:w="2155" w:type="dxa"/>
          </w:tcPr>
          <w:p w14:paraId="59529D87" w14:textId="07591558" w:rsidR="00DE29D0" w:rsidRDefault="00DE29D0" w:rsidP="00DE29D0">
            <w:pPr>
              <w:rPr>
                <w:rStyle w:val="markedcontent"/>
                <w:rFonts w:ascii="Arial" w:hAnsi="Arial" w:cs="Arial"/>
                <w:b/>
              </w:rPr>
            </w:pPr>
            <w:r>
              <w:rPr>
                <w:rStyle w:val="markedcontent"/>
                <w:rFonts w:ascii="Arial" w:hAnsi="Arial" w:cs="Arial"/>
                <w:b/>
              </w:rPr>
              <w:t>Lab Drawing 3</w:t>
            </w:r>
          </w:p>
        </w:tc>
      </w:tr>
      <w:tr w:rsidR="00DE29D0" w14:paraId="328114DD" w14:textId="77777777" w:rsidTr="00DE29D0">
        <w:tc>
          <w:tcPr>
            <w:tcW w:w="985" w:type="dxa"/>
          </w:tcPr>
          <w:p w14:paraId="24751BCE" w14:textId="7F947E99" w:rsidR="00DE29D0" w:rsidRDefault="00DE29D0" w:rsidP="00DE29D0">
            <w:pPr>
              <w:rPr>
                <w:rStyle w:val="markedcontent"/>
                <w:rFonts w:ascii="Arial" w:hAnsi="Arial" w:cs="Arial"/>
                <w:b/>
              </w:rPr>
            </w:pPr>
            <w:r>
              <w:rPr>
                <w:rStyle w:val="markedcontent"/>
                <w:rFonts w:ascii="Arial" w:hAnsi="Arial" w:cs="Arial"/>
                <w:b/>
              </w:rPr>
              <w:t>7</w:t>
            </w:r>
          </w:p>
        </w:tc>
        <w:tc>
          <w:tcPr>
            <w:tcW w:w="6210" w:type="dxa"/>
          </w:tcPr>
          <w:p w14:paraId="3BB884D4" w14:textId="02588B49" w:rsidR="00DE29D0" w:rsidRDefault="00DE29D0" w:rsidP="00DE29D0">
            <w:pPr>
              <w:rPr>
                <w:rStyle w:val="markedcontent"/>
                <w:rFonts w:ascii="Arial" w:hAnsi="Arial" w:cs="Arial"/>
                <w:b/>
              </w:rPr>
            </w:pPr>
            <w:r>
              <w:rPr>
                <w:rStyle w:val="markedcontent"/>
                <w:rFonts w:ascii="Arial" w:hAnsi="Arial" w:cs="Arial"/>
                <w:b/>
              </w:rPr>
              <w:t>Templates, Title Blocks, Arrays, Mirror, Printing, Plotting</w:t>
            </w:r>
          </w:p>
        </w:tc>
        <w:tc>
          <w:tcPr>
            <w:tcW w:w="2155" w:type="dxa"/>
          </w:tcPr>
          <w:p w14:paraId="30CC8E6F" w14:textId="14114FE6" w:rsidR="00DE29D0" w:rsidRDefault="00DE29D0" w:rsidP="00DE29D0">
            <w:pPr>
              <w:rPr>
                <w:rStyle w:val="markedcontent"/>
                <w:rFonts w:ascii="Arial" w:hAnsi="Arial" w:cs="Arial"/>
                <w:b/>
              </w:rPr>
            </w:pPr>
            <w:r>
              <w:rPr>
                <w:rStyle w:val="markedcontent"/>
                <w:rFonts w:ascii="Arial" w:hAnsi="Arial" w:cs="Arial"/>
                <w:b/>
              </w:rPr>
              <w:t>Lab Drawing 3</w:t>
            </w:r>
          </w:p>
        </w:tc>
      </w:tr>
      <w:tr w:rsidR="00DE29D0" w14:paraId="02E15246" w14:textId="77777777" w:rsidTr="00DE29D0">
        <w:tc>
          <w:tcPr>
            <w:tcW w:w="985" w:type="dxa"/>
          </w:tcPr>
          <w:p w14:paraId="1D0A2247" w14:textId="7732DC9B" w:rsidR="00DE29D0" w:rsidRDefault="00DE29D0" w:rsidP="00DE29D0">
            <w:pPr>
              <w:rPr>
                <w:rStyle w:val="markedcontent"/>
                <w:rFonts w:ascii="Arial" w:hAnsi="Arial" w:cs="Arial"/>
                <w:b/>
              </w:rPr>
            </w:pPr>
            <w:r>
              <w:rPr>
                <w:rStyle w:val="markedcontent"/>
                <w:rFonts w:ascii="Arial" w:hAnsi="Arial" w:cs="Arial"/>
                <w:b/>
              </w:rPr>
              <w:t>8</w:t>
            </w:r>
          </w:p>
        </w:tc>
        <w:tc>
          <w:tcPr>
            <w:tcW w:w="6210" w:type="dxa"/>
          </w:tcPr>
          <w:p w14:paraId="28D1B5EA" w14:textId="47877B69" w:rsidR="00DE29D0" w:rsidRDefault="00DE29D0" w:rsidP="00DE29D0">
            <w:pPr>
              <w:rPr>
                <w:rStyle w:val="markedcontent"/>
                <w:rFonts w:ascii="Arial" w:hAnsi="Arial" w:cs="Arial"/>
                <w:b/>
              </w:rPr>
            </w:pPr>
            <w:r>
              <w:rPr>
                <w:rStyle w:val="markedcontent"/>
                <w:rFonts w:ascii="Arial" w:hAnsi="Arial" w:cs="Arial"/>
                <w:b/>
              </w:rPr>
              <w:t>Auxiliary Views, Polar Tracking</w:t>
            </w:r>
          </w:p>
        </w:tc>
        <w:tc>
          <w:tcPr>
            <w:tcW w:w="2155" w:type="dxa"/>
          </w:tcPr>
          <w:p w14:paraId="103CADB9" w14:textId="34965048" w:rsidR="00DE29D0" w:rsidRDefault="00DE29D0" w:rsidP="00DE29D0">
            <w:pPr>
              <w:rPr>
                <w:rStyle w:val="markedcontent"/>
                <w:rFonts w:ascii="Arial" w:hAnsi="Arial" w:cs="Arial"/>
                <w:b/>
              </w:rPr>
            </w:pPr>
            <w:r>
              <w:rPr>
                <w:rStyle w:val="markedcontent"/>
                <w:rFonts w:ascii="Arial" w:hAnsi="Arial" w:cs="Arial"/>
                <w:b/>
              </w:rPr>
              <w:t>Lab Drawing 4</w:t>
            </w:r>
          </w:p>
        </w:tc>
      </w:tr>
      <w:tr w:rsidR="00DE29D0" w14:paraId="7DD2B4DF" w14:textId="77777777" w:rsidTr="00DE29D0">
        <w:tc>
          <w:tcPr>
            <w:tcW w:w="985" w:type="dxa"/>
          </w:tcPr>
          <w:p w14:paraId="726C495E" w14:textId="0C43DB25" w:rsidR="00DE29D0" w:rsidRDefault="00DE29D0" w:rsidP="00DE29D0">
            <w:pPr>
              <w:rPr>
                <w:rStyle w:val="markedcontent"/>
                <w:rFonts w:ascii="Arial" w:hAnsi="Arial" w:cs="Arial"/>
                <w:b/>
              </w:rPr>
            </w:pPr>
            <w:r>
              <w:rPr>
                <w:rStyle w:val="markedcontent"/>
                <w:rFonts w:ascii="Arial" w:hAnsi="Arial" w:cs="Arial"/>
                <w:b/>
              </w:rPr>
              <w:t>9</w:t>
            </w:r>
          </w:p>
        </w:tc>
        <w:tc>
          <w:tcPr>
            <w:tcW w:w="6210" w:type="dxa"/>
          </w:tcPr>
          <w:p w14:paraId="3F4780E7" w14:textId="4FE51E6E" w:rsidR="00DE29D0" w:rsidRDefault="00DE29D0" w:rsidP="00DE29D0">
            <w:pPr>
              <w:rPr>
                <w:rStyle w:val="markedcontent"/>
                <w:rFonts w:ascii="Arial" w:hAnsi="Arial" w:cs="Arial"/>
                <w:b/>
              </w:rPr>
            </w:pPr>
            <w:r>
              <w:rPr>
                <w:rStyle w:val="markedcontent"/>
                <w:rFonts w:ascii="Arial" w:hAnsi="Arial" w:cs="Arial"/>
                <w:b/>
              </w:rPr>
              <w:t>Sectional Views, Hatching, Blocks, Assembly Drawings</w:t>
            </w:r>
          </w:p>
        </w:tc>
        <w:tc>
          <w:tcPr>
            <w:tcW w:w="2155" w:type="dxa"/>
          </w:tcPr>
          <w:p w14:paraId="3528EB2C" w14:textId="18559E7C" w:rsidR="00DE29D0" w:rsidRDefault="00DE29D0" w:rsidP="00DE29D0">
            <w:pPr>
              <w:rPr>
                <w:rStyle w:val="markedcontent"/>
                <w:rFonts w:ascii="Arial" w:hAnsi="Arial" w:cs="Arial"/>
                <w:b/>
              </w:rPr>
            </w:pPr>
            <w:r>
              <w:rPr>
                <w:rStyle w:val="markedcontent"/>
                <w:rFonts w:ascii="Arial" w:hAnsi="Arial" w:cs="Arial"/>
                <w:b/>
              </w:rPr>
              <w:t>Lab Drawing 4</w:t>
            </w:r>
          </w:p>
        </w:tc>
      </w:tr>
      <w:tr w:rsidR="00DE29D0" w14:paraId="59BBBA4D" w14:textId="77777777" w:rsidTr="00DE29D0">
        <w:tc>
          <w:tcPr>
            <w:tcW w:w="985" w:type="dxa"/>
          </w:tcPr>
          <w:p w14:paraId="3D424D37" w14:textId="5145EBB9" w:rsidR="00DE29D0" w:rsidRDefault="00DE29D0" w:rsidP="00DE29D0">
            <w:pPr>
              <w:rPr>
                <w:rStyle w:val="markedcontent"/>
                <w:rFonts w:ascii="Arial" w:hAnsi="Arial" w:cs="Arial"/>
                <w:b/>
              </w:rPr>
            </w:pPr>
            <w:r>
              <w:rPr>
                <w:rStyle w:val="markedcontent"/>
                <w:rFonts w:ascii="Arial" w:hAnsi="Arial" w:cs="Arial"/>
                <w:b/>
              </w:rPr>
              <w:t>10</w:t>
            </w:r>
          </w:p>
        </w:tc>
        <w:tc>
          <w:tcPr>
            <w:tcW w:w="6210" w:type="dxa"/>
          </w:tcPr>
          <w:p w14:paraId="33991072" w14:textId="5060B6EF" w:rsidR="00DE29D0" w:rsidRDefault="00DE29D0" w:rsidP="00DE29D0">
            <w:pPr>
              <w:rPr>
                <w:rStyle w:val="markedcontent"/>
                <w:rFonts w:ascii="Arial" w:hAnsi="Arial" w:cs="Arial"/>
                <w:b/>
              </w:rPr>
            </w:pPr>
            <w:proofErr w:type="spellStart"/>
            <w:r>
              <w:rPr>
                <w:rStyle w:val="markedcontent"/>
                <w:rFonts w:ascii="Arial" w:hAnsi="Arial" w:cs="Arial"/>
                <w:b/>
              </w:rPr>
              <w:t>AutoDesk</w:t>
            </w:r>
            <w:proofErr w:type="spellEnd"/>
            <w:r>
              <w:rPr>
                <w:rStyle w:val="markedcontent"/>
                <w:rFonts w:ascii="Arial" w:hAnsi="Arial" w:cs="Arial"/>
                <w:b/>
              </w:rPr>
              <w:t xml:space="preserve"> Inventor, Parametric Modeling</w:t>
            </w:r>
          </w:p>
        </w:tc>
        <w:tc>
          <w:tcPr>
            <w:tcW w:w="2155" w:type="dxa"/>
          </w:tcPr>
          <w:p w14:paraId="1218BA9C" w14:textId="5884C214" w:rsidR="00DE29D0" w:rsidRDefault="00DE29D0" w:rsidP="00DE29D0">
            <w:pPr>
              <w:rPr>
                <w:rStyle w:val="markedcontent"/>
                <w:rFonts w:ascii="Arial" w:hAnsi="Arial" w:cs="Arial"/>
                <w:b/>
              </w:rPr>
            </w:pPr>
            <w:r>
              <w:rPr>
                <w:rStyle w:val="markedcontent"/>
                <w:rFonts w:ascii="Arial" w:hAnsi="Arial" w:cs="Arial"/>
                <w:b/>
              </w:rPr>
              <w:t>Lab Drawing 5</w:t>
            </w:r>
          </w:p>
        </w:tc>
      </w:tr>
      <w:tr w:rsidR="00DE29D0" w14:paraId="27133CD7" w14:textId="77777777" w:rsidTr="00DE29D0">
        <w:tc>
          <w:tcPr>
            <w:tcW w:w="985" w:type="dxa"/>
          </w:tcPr>
          <w:p w14:paraId="41228BFB" w14:textId="0C2E5C98" w:rsidR="00DE29D0" w:rsidRDefault="00DE29D0" w:rsidP="00DE29D0">
            <w:pPr>
              <w:rPr>
                <w:rStyle w:val="markedcontent"/>
                <w:rFonts w:ascii="Arial" w:hAnsi="Arial" w:cs="Arial"/>
                <w:b/>
              </w:rPr>
            </w:pPr>
            <w:r>
              <w:rPr>
                <w:rStyle w:val="markedcontent"/>
                <w:rFonts w:ascii="Arial" w:hAnsi="Arial" w:cs="Arial"/>
                <w:b/>
              </w:rPr>
              <w:t>11</w:t>
            </w:r>
          </w:p>
        </w:tc>
        <w:tc>
          <w:tcPr>
            <w:tcW w:w="6210" w:type="dxa"/>
          </w:tcPr>
          <w:p w14:paraId="6560FC04" w14:textId="4E263D8D" w:rsidR="00DE29D0" w:rsidRDefault="00DE29D0" w:rsidP="00DE29D0">
            <w:pPr>
              <w:rPr>
                <w:rStyle w:val="markedcontent"/>
                <w:rFonts w:ascii="Arial" w:hAnsi="Arial" w:cs="Arial"/>
                <w:b/>
              </w:rPr>
            </w:pPr>
            <w:r>
              <w:rPr>
                <w:rStyle w:val="markedcontent"/>
                <w:rFonts w:ascii="Arial" w:hAnsi="Arial" w:cs="Arial"/>
                <w:b/>
              </w:rPr>
              <w:t>Inventor’s Toolbars, Features</w:t>
            </w:r>
          </w:p>
        </w:tc>
        <w:tc>
          <w:tcPr>
            <w:tcW w:w="2155" w:type="dxa"/>
          </w:tcPr>
          <w:p w14:paraId="54B10B81" w14:textId="38858ADB" w:rsidR="00DE29D0" w:rsidRDefault="00DE29D0" w:rsidP="00DE29D0">
            <w:pPr>
              <w:rPr>
                <w:rStyle w:val="markedcontent"/>
                <w:rFonts w:ascii="Arial" w:hAnsi="Arial" w:cs="Arial"/>
                <w:b/>
              </w:rPr>
            </w:pPr>
            <w:r>
              <w:rPr>
                <w:rStyle w:val="markedcontent"/>
                <w:rFonts w:ascii="Arial" w:hAnsi="Arial" w:cs="Arial"/>
                <w:b/>
              </w:rPr>
              <w:t>Lab Drawing 5</w:t>
            </w:r>
          </w:p>
        </w:tc>
      </w:tr>
      <w:tr w:rsidR="00DE29D0" w14:paraId="61FBEBA3" w14:textId="77777777" w:rsidTr="00DE29D0">
        <w:tc>
          <w:tcPr>
            <w:tcW w:w="985" w:type="dxa"/>
          </w:tcPr>
          <w:p w14:paraId="69C9FB30" w14:textId="3082CBB6" w:rsidR="00DE29D0" w:rsidRDefault="00DE29D0" w:rsidP="00DE29D0">
            <w:pPr>
              <w:rPr>
                <w:rStyle w:val="markedcontent"/>
                <w:rFonts w:ascii="Arial" w:hAnsi="Arial" w:cs="Arial"/>
                <w:b/>
              </w:rPr>
            </w:pPr>
            <w:r>
              <w:rPr>
                <w:rStyle w:val="markedcontent"/>
                <w:rFonts w:ascii="Arial" w:hAnsi="Arial" w:cs="Arial"/>
                <w:b/>
              </w:rPr>
              <w:t>12</w:t>
            </w:r>
          </w:p>
        </w:tc>
        <w:tc>
          <w:tcPr>
            <w:tcW w:w="6210" w:type="dxa"/>
          </w:tcPr>
          <w:p w14:paraId="04B63FC0" w14:textId="312C6BCE" w:rsidR="00DE29D0" w:rsidRDefault="00DE29D0" w:rsidP="00DE29D0">
            <w:pPr>
              <w:rPr>
                <w:rStyle w:val="markedcontent"/>
                <w:rFonts w:ascii="Arial" w:hAnsi="Arial" w:cs="Arial"/>
                <w:b/>
              </w:rPr>
            </w:pPr>
            <w:r>
              <w:rPr>
                <w:rStyle w:val="markedcontent"/>
                <w:rFonts w:ascii="Arial" w:hAnsi="Arial" w:cs="Arial"/>
                <w:b/>
              </w:rPr>
              <w:t>Inventor Sketch Tools, AutoCAD drawing Conversions</w:t>
            </w:r>
          </w:p>
        </w:tc>
        <w:tc>
          <w:tcPr>
            <w:tcW w:w="2155" w:type="dxa"/>
          </w:tcPr>
          <w:p w14:paraId="5EB85E06" w14:textId="0E85852C" w:rsidR="00DE29D0" w:rsidRDefault="00DE29D0" w:rsidP="00DE29D0">
            <w:pPr>
              <w:rPr>
                <w:rStyle w:val="markedcontent"/>
                <w:rFonts w:ascii="Arial" w:hAnsi="Arial" w:cs="Arial"/>
                <w:b/>
              </w:rPr>
            </w:pPr>
            <w:r>
              <w:rPr>
                <w:rStyle w:val="markedcontent"/>
                <w:rFonts w:ascii="Arial" w:hAnsi="Arial" w:cs="Arial"/>
                <w:b/>
              </w:rPr>
              <w:t>Lab Drawing 6</w:t>
            </w:r>
          </w:p>
        </w:tc>
      </w:tr>
      <w:tr w:rsidR="00DE29D0" w14:paraId="6CAD400C" w14:textId="77777777" w:rsidTr="00DE29D0">
        <w:tc>
          <w:tcPr>
            <w:tcW w:w="985" w:type="dxa"/>
          </w:tcPr>
          <w:p w14:paraId="24C63475" w14:textId="042C4254" w:rsidR="00DE29D0" w:rsidRDefault="00DE29D0" w:rsidP="00DE29D0">
            <w:pPr>
              <w:rPr>
                <w:rStyle w:val="markedcontent"/>
                <w:rFonts w:ascii="Arial" w:hAnsi="Arial" w:cs="Arial"/>
                <w:b/>
              </w:rPr>
            </w:pPr>
            <w:r>
              <w:rPr>
                <w:rStyle w:val="markedcontent"/>
                <w:rFonts w:ascii="Arial" w:hAnsi="Arial" w:cs="Arial"/>
                <w:b/>
              </w:rPr>
              <w:t>13</w:t>
            </w:r>
          </w:p>
        </w:tc>
        <w:tc>
          <w:tcPr>
            <w:tcW w:w="6210" w:type="dxa"/>
          </w:tcPr>
          <w:p w14:paraId="62D72D9D" w14:textId="1581C63C" w:rsidR="00DE29D0" w:rsidRDefault="00DE29D0" w:rsidP="00DE29D0">
            <w:pPr>
              <w:rPr>
                <w:rStyle w:val="markedcontent"/>
                <w:rFonts w:ascii="Arial" w:hAnsi="Arial" w:cs="Arial"/>
                <w:b/>
              </w:rPr>
            </w:pPr>
            <w:r>
              <w:rPr>
                <w:rStyle w:val="markedcontent"/>
                <w:rFonts w:ascii="Arial" w:hAnsi="Arial" w:cs="Arial"/>
                <w:b/>
              </w:rPr>
              <w:t>Inventor’s Solids Toolbars, Sheet Metal Tools</w:t>
            </w:r>
          </w:p>
        </w:tc>
        <w:tc>
          <w:tcPr>
            <w:tcW w:w="2155" w:type="dxa"/>
          </w:tcPr>
          <w:p w14:paraId="73FDDA51" w14:textId="00FD5938" w:rsidR="00DE29D0" w:rsidRDefault="00DE29D0" w:rsidP="00DE29D0">
            <w:pPr>
              <w:rPr>
                <w:rStyle w:val="markedcontent"/>
                <w:rFonts w:ascii="Arial" w:hAnsi="Arial" w:cs="Arial"/>
                <w:b/>
              </w:rPr>
            </w:pPr>
            <w:r>
              <w:rPr>
                <w:rStyle w:val="markedcontent"/>
                <w:rFonts w:ascii="Arial" w:hAnsi="Arial" w:cs="Arial"/>
                <w:b/>
              </w:rPr>
              <w:t>Lab Drawing 6</w:t>
            </w:r>
          </w:p>
        </w:tc>
      </w:tr>
      <w:tr w:rsidR="00DE29D0" w14:paraId="2CED5BE5" w14:textId="77777777" w:rsidTr="00DE29D0">
        <w:tc>
          <w:tcPr>
            <w:tcW w:w="985" w:type="dxa"/>
          </w:tcPr>
          <w:p w14:paraId="308B6DF7" w14:textId="1696D5BF" w:rsidR="00DE29D0" w:rsidRDefault="00DE29D0" w:rsidP="00DE29D0">
            <w:pPr>
              <w:rPr>
                <w:rStyle w:val="markedcontent"/>
                <w:rFonts w:ascii="Arial" w:hAnsi="Arial" w:cs="Arial"/>
                <w:b/>
              </w:rPr>
            </w:pPr>
            <w:r>
              <w:rPr>
                <w:rStyle w:val="markedcontent"/>
                <w:rFonts w:ascii="Arial" w:hAnsi="Arial" w:cs="Arial"/>
                <w:b/>
              </w:rPr>
              <w:t>14,15</w:t>
            </w:r>
          </w:p>
        </w:tc>
        <w:tc>
          <w:tcPr>
            <w:tcW w:w="6210" w:type="dxa"/>
          </w:tcPr>
          <w:p w14:paraId="70065992" w14:textId="2506F38F" w:rsidR="00DE29D0" w:rsidRDefault="00DE29D0" w:rsidP="00DE29D0">
            <w:pPr>
              <w:rPr>
                <w:rStyle w:val="markedcontent"/>
                <w:rFonts w:ascii="Arial" w:hAnsi="Arial" w:cs="Arial"/>
                <w:b/>
              </w:rPr>
            </w:pPr>
            <w:r>
              <w:rPr>
                <w:rStyle w:val="markedcontent"/>
                <w:rFonts w:ascii="Arial" w:hAnsi="Arial" w:cs="Arial"/>
                <w:b/>
              </w:rPr>
              <w:t>Inventor Assemblies</w:t>
            </w:r>
          </w:p>
        </w:tc>
        <w:tc>
          <w:tcPr>
            <w:tcW w:w="2155" w:type="dxa"/>
          </w:tcPr>
          <w:p w14:paraId="3EA722C3" w14:textId="00FB2434" w:rsidR="00DE29D0" w:rsidRDefault="00DE29D0" w:rsidP="00DE29D0">
            <w:pPr>
              <w:rPr>
                <w:rStyle w:val="markedcontent"/>
                <w:rFonts w:ascii="Arial" w:hAnsi="Arial" w:cs="Arial"/>
                <w:b/>
              </w:rPr>
            </w:pPr>
            <w:r>
              <w:rPr>
                <w:rStyle w:val="markedcontent"/>
                <w:rFonts w:ascii="Arial" w:hAnsi="Arial" w:cs="Arial"/>
                <w:b/>
              </w:rPr>
              <w:t>Finalize Completed Drawings</w:t>
            </w:r>
          </w:p>
        </w:tc>
      </w:tr>
      <w:tr w:rsidR="00DE29D0" w14:paraId="553C7AE7" w14:textId="77777777" w:rsidTr="00DE29D0">
        <w:tc>
          <w:tcPr>
            <w:tcW w:w="985" w:type="dxa"/>
          </w:tcPr>
          <w:p w14:paraId="44E79819" w14:textId="3F6ED31F" w:rsidR="00DE29D0" w:rsidRDefault="00DE29D0" w:rsidP="00DE29D0">
            <w:pPr>
              <w:rPr>
                <w:rStyle w:val="markedcontent"/>
                <w:rFonts w:ascii="Arial" w:hAnsi="Arial" w:cs="Arial"/>
                <w:b/>
              </w:rPr>
            </w:pPr>
            <w:r>
              <w:rPr>
                <w:rStyle w:val="markedcontent"/>
                <w:rFonts w:ascii="Arial" w:hAnsi="Arial" w:cs="Arial"/>
                <w:b/>
              </w:rPr>
              <w:t>16</w:t>
            </w:r>
          </w:p>
        </w:tc>
        <w:tc>
          <w:tcPr>
            <w:tcW w:w="6210" w:type="dxa"/>
          </w:tcPr>
          <w:p w14:paraId="03C2CF0D" w14:textId="58FF0C77" w:rsidR="00DE29D0" w:rsidRDefault="00DE29D0" w:rsidP="00DE29D0">
            <w:pPr>
              <w:rPr>
                <w:rStyle w:val="markedcontent"/>
                <w:rFonts w:ascii="Arial" w:hAnsi="Arial" w:cs="Arial"/>
                <w:b/>
              </w:rPr>
            </w:pPr>
            <w:r>
              <w:rPr>
                <w:rStyle w:val="markedcontent"/>
                <w:rFonts w:ascii="Arial" w:hAnsi="Arial" w:cs="Arial"/>
                <w:b/>
              </w:rPr>
              <w:t>Exam</w:t>
            </w:r>
          </w:p>
        </w:tc>
        <w:tc>
          <w:tcPr>
            <w:tcW w:w="2155" w:type="dxa"/>
          </w:tcPr>
          <w:p w14:paraId="638DE2A3" w14:textId="77777777" w:rsidR="00DE29D0" w:rsidRDefault="00DE29D0" w:rsidP="00DE29D0">
            <w:pPr>
              <w:rPr>
                <w:rStyle w:val="markedcontent"/>
                <w:rFonts w:ascii="Arial" w:hAnsi="Arial" w:cs="Arial"/>
                <w:b/>
              </w:rPr>
            </w:pPr>
          </w:p>
        </w:tc>
      </w:tr>
    </w:tbl>
    <w:p w14:paraId="28D67121" w14:textId="77777777" w:rsidR="00DE29D0" w:rsidRDefault="00DE29D0" w:rsidP="00DE29D0">
      <w:pPr>
        <w:rPr>
          <w:rStyle w:val="markedcontent"/>
          <w:rFonts w:ascii="Arial" w:hAnsi="Arial" w:cs="Arial"/>
          <w:b/>
        </w:rPr>
      </w:pP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lastRenderedPageBreak/>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lastRenderedPageBreak/>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841D7E"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841D7E"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841D7E"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841D7E"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841D7E"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841D7E"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841D7E"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p w14:paraId="5A00B880" w14:textId="77777777" w:rsidR="00031D26" w:rsidRDefault="00031D26"/>
  <w:p w14:paraId="490D1324" w14:textId="77777777" w:rsidR="008F77E3" w:rsidRDefault="008F77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p w14:paraId="40E54E20" w14:textId="77777777" w:rsidR="00031D26" w:rsidRDefault="00031D26"/>
  <w:p w14:paraId="5B5FF381" w14:textId="77777777" w:rsidR="008F77E3" w:rsidRDefault="008F7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p w14:paraId="23D7B203" w14:textId="77777777" w:rsidR="00031D26" w:rsidRDefault="00031D26"/>
  <w:p w14:paraId="2AA9CBD3" w14:textId="77777777" w:rsidR="008F77E3" w:rsidRDefault="008F77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54144921"/>
    <w:multiLevelType w:val="hybridMultilevel"/>
    <w:tmpl w:val="7ADE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6"/>
  </w:num>
  <w:num w:numId="3">
    <w:abstractNumId w:val="17"/>
  </w:num>
  <w:num w:numId="4">
    <w:abstractNumId w:val="16"/>
  </w:num>
  <w:num w:numId="5">
    <w:abstractNumId w:val="3"/>
  </w:num>
  <w:num w:numId="6">
    <w:abstractNumId w:val="33"/>
  </w:num>
  <w:num w:numId="7">
    <w:abstractNumId w:val="12"/>
  </w:num>
  <w:num w:numId="8">
    <w:abstractNumId w:val="25"/>
  </w:num>
  <w:num w:numId="9">
    <w:abstractNumId w:val="14"/>
  </w:num>
  <w:num w:numId="10">
    <w:abstractNumId w:val="24"/>
  </w:num>
  <w:num w:numId="11">
    <w:abstractNumId w:val="9"/>
  </w:num>
  <w:num w:numId="12">
    <w:abstractNumId w:val="15"/>
  </w:num>
  <w:num w:numId="13">
    <w:abstractNumId w:val="5"/>
  </w:num>
  <w:num w:numId="14">
    <w:abstractNumId w:val="35"/>
  </w:num>
  <w:num w:numId="15">
    <w:abstractNumId w:val="34"/>
  </w:num>
  <w:num w:numId="16">
    <w:abstractNumId w:val="20"/>
  </w:num>
  <w:num w:numId="17">
    <w:abstractNumId w:val="6"/>
  </w:num>
  <w:num w:numId="18">
    <w:abstractNumId w:val="21"/>
  </w:num>
  <w:num w:numId="19">
    <w:abstractNumId w:val="2"/>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7"/>
  </w:num>
  <w:num w:numId="27">
    <w:abstractNumId w:val="1"/>
  </w:num>
  <w:num w:numId="28">
    <w:abstractNumId w:val="18"/>
  </w:num>
  <w:num w:numId="29">
    <w:abstractNumId w:val="4"/>
  </w:num>
  <w:num w:numId="30">
    <w:abstractNumId w:val="27"/>
  </w:num>
  <w:num w:numId="31">
    <w:abstractNumId w:val="0"/>
  </w:num>
  <w:num w:numId="32">
    <w:abstractNumId w:val="11"/>
  </w:num>
  <w:num w:numId="33">
    <w:abstractNumId w:val="30"/>
  </w:num>
  <w:num w:numId="34">
    <w:abstractNumId w:val="22"/>
  </w:num>
  <w:num w:numId="35">
    <w:abstractNumId w:val="8"/>
  </w:num>
  <w:num w:numId="36">
    <w:abstractNumId w:val="1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31D26"/>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41D7E"/>
    <w:rsid w:val="008A5FD3"/>
    <w:rsid w:val="008F6337"/>
    <w:rsid w:val="008F77E3"/>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5729"/>
    <w:rsid w:val="00B27DA2"/>
    <w:rsid w:val="00B35B64"/>
    <w:rsid w:val="00B56DC6"/>
    <w:rsid w:val="00B6504F"/>
    <w:rsid w:val="00B97936"/>
    <w:rsid w:val="00BC4B11"/>
    <w:rsid w:val="00C16D79"/>
    <w:rsid w:val="00C5354F"/>
    <w:rsid w:val="00C66A5B"/>
    <w:rsid w:val="00C736DA"/>
    <w:rsid w:val="00C87118"/>
    <w:rsid w:val="00CF3912"/>
    <w:rsid w:val="00D35F99"/>
    <w:rsid w:val="00D94C39"/>
    <w:rsid w:val="00DE29D0"/>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DE29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4327">
      <w:bodyDiv w:val="1"/>
      <w:marLeft w:val="0"/>
      <w:marRight w:val="0"/>
      <w:marTop w:val="0"/>
      <w:marBottom w:val="0"/>
      <w:divBdr>
        <w:top w:val="none" w:sz="0" w:space="0" w:color="auto"/>
        <w:left w:val="none" w:sz="0" w:space="0" w:color="auto"/>
        <w:bottom w:val="none" w:sz="0" w:space="0" w:color="auto"/>
        <w:right w:val="none" w:sz="0" w:space="0" w:color="auto"/>
      </w:divBdr>
    </w:div>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003778096">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131168193">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20498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F43A-DB83-4D9E-A562-A6CCC5CE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6</cp:revision>
  <dcterms:created xsi:type="dcterms:W3CDTF">2022-04-29T18:47:00Z</dcterms:created>
  <dcterms:modified xsi:type="dcterms:W3CDTF">2024-02-07T13:44:00Z</dcterms:modified>
</cp:coreProperties>
</file>