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34C6C38B"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1268E6">
        <w:rPr>
          <w:rFonts w:ascii="Arial" w:hAnsi="Arial" w:cs="Arial"/>
        </w:rPr>
        <w:t>Physics i</w:t>
      </w:r>
    </w:p>
    <w:p w14:paraId="43EEB450" w14:textId="3E0808D7" w:rsidR="008338E0" w:rsidRPr="002840F2" w:rsidRDefault="001268E6" w:rsidP="007F68EF">
      <w:pPr>
        <w:jc w:val="center"/>
        <w:rPr>
          <w:rFonts w:ascii="Arial" w:hAnsi="Arial" w:cs="Arial"/>
        </w:rPr>
      </w:pPr>
      <w:r>
        <w:rPr>
          <w:rFonts w:ascii="Arial" w:hAnsi="Arial" w:cs="Arial"/>
        </w:rPr>
        <w:t>4 Credits</w:t>
      </w:r>
      <w:r w:rsidR="008338E0" w:rsidRPr="002840F2">
        <w:rPr>
          <w:rFonts w:ascii="Arial" w:hAnsi="Arial" w:cs="Arial"/>
        </w:rPr>
        <w:br/>
      </w:r>
      <w:r>
        <w:rPr>
          <w:rFonts w:ascii="Arial" w:hAnsi="Arial" w:cs="Arial"/>
        </w:rPr>
        <w:t>PHY 153</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1689BFB1" w:rsidR="008338E0" w:rsidRPr="002840F2" w:rsidRDefault="001268E6" w:rsidP="008338E0">
      <w:pPr>
        <w:rPr>
          <w:rFonts w:ascii="Arial" w:hAnsi="Arial" w:cs="Arial"/>
        </w:rPr>
      </w:pPr>
      <w:r>
        <w:rPr>
          <w:rFonts w:ascii="Arial" w:hAnsi="Arial" w:cs="Arial"/>
        </w:rPr>
        <w:t>This course uses algebra, trigonometry, and geometry to describe forces, kinematics, dynamics, and conservation laws</w:t>
      </w:r>
      <w:proofErr w:type="gramStart"/>
      <w:r>
        <w:rPr>
          <w:rFonts w:ascii="Arial" w:hAnsi="Arial" w:cs="Arial"/>
        </w:rPr>
        <w:t xml:space="preserve">. </w:t>
      </w:r>
      <w:proofErr w:type="gramEnd"/>
      <w:r>
        <w:rPr>
          <w:rFonts w:ascii="Arial" w:hAnsi="Arial" w:cs="Arial"/>
        </w:rPr>
        <w:t>The following topics are covered: translational motion, torque, friction, projectile motion, momentum, rotational motion, simple harmonic motion, sound, and thermodynamics. Vector algebra will be used extensively.</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074C60D6" w14:textId="409C0DD5" w:rsidR="008338E0" w:rsidRDefault="00DA53E0" w:rsidP="008338E0">
      <w:pPr>
        <w:rPr>
          <w:rFonts w:ascii="Arial" w:hAnsi="Arial" w:cs="Arial"/>
        </w:rPr>
      </w:pPr>
      <w:r>
        <w:rPr>
          <w:rFonts w:ascii="Arial" w:hAnsi="Arial" w:cs="Arial"/>
        </w:rPr>
        <w:t>Students who have successfully completed this course will:</w:t>
      </w:r>
    </w:p>
    <w:p w14:paraId="49916F40" w14:textId="388DC83C" w:rsidR="00DA53E0" w:rsidRDefault="00DA53E0" w:rsidP="00DA53E0">
      <w:pPr>
        <w:pStyle w:val="ListParagraph"/>
        <w:numPr>
          <w:ilvl w:val="0"/>
          <w:numId w:val="37"/>
        </w:numPr>
        <w:rPr>
          <w:rFonts w:ascii="Arial" w:hAnsi="Arial" w:cs="Arial"/>
        </w:rPr>
      </w:pPr>
      <w:r>
        <w:rPr>
          <w:rFonts w:ascii="Arial" w:hAnsi="Arial" w:cs="Arial"/>
        </w:rPr>
        <w:t>Test scientific hypotheses by obtaining and analyzing experimental data using statistical and computational techniques;</w:t>
      </w:r>
    </w:p>
    <w:p w14:paraId="3247869B" w14:textId="709F0A56" w:rsidR="00DA53E0" w:rsidRDefault="00DA53E0" w:rsidP="00DA53E0">
      <w:pPr>
        <w:pStyle w:val="ListParagraph"/>
        <w:numPr>
          <w:ilvl w:val="0"/>
          <w:numId w:val="37"/>
        </w:numPr>
        <w:rPr>
          <w:rFonts w:ascii="Arial" w:hAnsi="Arial" w:cs="Arial"/>
        </w:rPr>
      </w:pPr>
      <w:r>
        <w:rPr>
          <w:rFonts w:ascii="Arial" w:hAnsi="Arial" w:cs="Arial"/>
        </w:rPr>
        <w:t>Demonstrate scientific communication and analysis skills through written lab reports;</w:t>
      </w:r>
    </w:p>
    <w:p w14:paraId="205C867F" w14:textId="10559528" w:rsidR="00DA53E0" w:rsidRDefault="00DA53E0" w:rsidP="00DA53E0">
      <w:pPr>
        <w:pStyle w:val="ListParagraph"/>
        <w:numPr>
          <w:ilvl w:val="0"/>
          <w:numId w:val="37"/>
        </w:numPr>
        <w:rPr>
          <w:rFonts w:ascii="Arial" w:hAnsi="Arial" w:cs="Arial"/>
        </w:rPr>
      </w:pPr>
      <w:r>
        <w:rPr>
          <w:rFonts w:ascii="Arial" w:hAnsi="Arial" w:cs="Arial"/>
        </w:rPr>
        <w:t xml:space="preserve">Use appropriate mathematical principles to analyze the fundamental laws of motion, and apply them to real-world examples; and </w:t>
      </w:r>
    </w:p>
    <w:p w14:paraId="3E47E66A" w14:textId="3E21C2F1" w:rsidR="00DA53E0" w:rsidRPr="00DA53E0" w:rsidRDefault="00FD3B99" w:rsidP="00DA53E0">
      <w:pPr>
        <w:pStyle w:val="ListParagraph"/>
        <w:numPr>
          <w:ilvl w:val="0"/>
          <w:numId w:val="37"/>
        </w:numPr>
        <w:rPr>
          <w:rFonts w:ascii="Arial" w:hAnsi="Arial" w:cs="Arial"/>
        </w:rPr>
      </w:pPr>
      <w:r>
        <w:rPr>
          <w:rFonts w:ascii="Arial" w:hAnsi="Arial" w:cs="Arial"/>
        </w:rPr>
        <w:lastRenderedPageBreak/>
        <w:t xml:space="preserve">Use the basic laws of motion to think critically and qualitatively in order to describe phenomena observed in nature. </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211CD100" w:rsidR="008338E0" w:rsidRPr="002840F2" w:rsidRDefault="001268E6" w:rsidP="008338E0">
      <w:pPr>
        <w:rPr>
          <w:rFonts w:ascii="Arial" w:hAnsi="Arial" w:cs="Arial"/>
          <w:color w:val="1155CC"/>
        </w:rPr>
      </w:pPr>
      <w:r>
        <w:rPr>
          <w:rFonts w:ascii="Arial" w:hAnsi="Arial" w:cs="Arial"/>
        </w:rPr>
        <w:t>MAT 118 or MAT 154 or eligible to reenroll in MAT 167</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744B428C" w:rsidR="008338E0" w:rsidRDefault="00FD3B99" w:rsidP="008338E0">
      <w:pPr>
        <w:rPr>
          <w:rFonts w:ascii="Arial" w:hAnsi="Arial" w:cs="Arial"/>
        </w:rPr>
      </w:pPr>
      <w:r>
        <w:rPr>
          <w:rFonts w:ascii="Arial" w:hAnsi="Arial" w:cs="Arial"/>
        </w:rPr>
        <w:t xml:space="preserve">Representative texts: </w:t>
      </w:r>
    </w:p>
    <w:p w14:paraId="0644DDEA" w14:textId="49923943" w:rsidR="00FD3B99" w:rsidRPr="002840F2" w:rsidRDefault="00FD3B99" w:rsidP="008338E0">
      <w:pPr>
        <w:rPr>
          <w:rFonts w:ascii="Arial" w:hAnsi="Arial" w:cs="Arial"/>
        </w:rPr>
      </w:pPr>
      <w:proofErr w:type="spellStart"/>
      <w:r>
        <w:rPr>
          <w:rFonts w:ascii="Arial" w:hAnsi="Arial" w:cs="Arial"/>
        </w:rPr>
        <w:t>Serway</w:t>
      </w:r>
      <w:proofErr w:type="spellEnd"/>
      <w:r>
        <w:rPr>
          <w:rFonts w:ascii="Arial" w:hAnsi="Arial" w:cs="Arial"/>
        </w:rPr>
        <w:t>; College Physics; Cengage</w:t>
      </w:r>
      <w:r>
        <w:rPr>
          <w:rFonts w:ascii="Arial" w:hAnsi="Arial" w:cs="Arial"/>
        </w:rPr>
        <w:br/>
      </w:r>
      <w:proofErr w:type="spellStart"/>
      <w:r>
        <w:rPr>
          <w:rFonts w:ascii="Arial" w:hAnsi="Arial" w:cs="Arial"/>
        </w:rPr>
        <w:t>Loyd</w:t>
      </w:r>
      <w:proofErr w:type="spellEnd"/>
      <w:r>
        <w:rPr>
          <w:rFonts w:ascii="Arial" w:hAnsi="Arial" w:cs="Arial"/>
        </w:rPr>
        <w:t>; Physics: Lab Manual; Cengage</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 xml:space="preserve">class </w:t>
      </w:r>
      <w:r w:rsidR="00347E69">
        <w:rPr>
          <w:rFonts w:ascii="Arial" w:hAnsi="Arial" w:cs="Arial"/>
        </w:rPr>
        <w:lastRenderedPageBreak/>
        <w:t>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lastRenderedPageBreak/>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6FDC1DF8" w14:textId="1D1F8911" w:rsidR="00FD3B99" w:rsidRDefault="00FD3B99" w:rsidP="00FD3B99">
      <w:pPr>
        <w:rPr>
          <w:rFonts w:ascii="Arial" w:hAnsi="Arial" w:cs="Arial"/>
        </w:rPr>
      </w:pPr>
      <w:r>
        <w:rPr>
          <w:rFonts w:ascii="Arial" w:hAnsi="Arial" w:cs="Arial"/>
        </w:rPr>
        <w:t>Course Content Outline:</w:t>
      </w:r>
    </w:p>
    <w:tbl>
      <w:tblPr>
        <w:tblStyle w:val="TableGrid"/>
        <w:tblW w:w="0" w:type="auto"/>
        <w:tblLook w:val="04A0" w:firstRow="1" w:lastRow="0" w:firstColumn="1" w:lastColumn="0" w:noHBand="0" w:noVBand="1"/>
      </w:tblPr>
      <w:tblGrid>
        <w:gridCol w:w="1075"/>
        <w:gridCol w:w="8275"/>
      </w:tblGrid>
      <w:tr w:rsidR="00FD3B99" w14:paraId="008A4ACB" w14:textId="77777777" w:rsidTr="00FD3B99">
        <w:tc>
          <w:tcPr>
            <w:tcW w:w="1075" w:type="dxa"/>
          </w:tcPr>
          <w:p w14:paraId="3C213BC4" w14:textId="78A2C693" w:rsidR="00FD3B99" w:rsidRDefault="00FD3B99" w:rsidP="00FD3B99">
            <w:pPr>
              <w:rPr>
                <w:rFonts w:ascii="Arial" w:hAnsi="Arial" w:cs="Arial"/>
              </w:rPr>
            </w:pPr>
            <w:r>
              <w:rPr>
                <w:rFonts w:ascii="Arial" w:hAnsi="Arial" w:cs="Arial"/>
              </w:rPr>
              <w:t>Week</w:t>
            </w:r>
          </w:p>
        </w:tc>
        <w:tc>
          <w:tcPr>
            <w:tcW w:w="8275" w:type="dxa"/>
          </w:tcPr>
          <w:p w14:paraId="61FEA199" w14:textId="4865ACD1" w:rsidR="00FD3B99" w:rsidRDefault="00FD3B99" w:rsidP="00FD3B99">
            <w:pPr>
              <w:rPr>
                <w:rFonts w:ascii="Arial" w:hAnsi="Arial" w:cs="Arial"/>
              </w:rPr>
            </w:pPr>
            <w:r>
              <w:rPr>
                <w:rFonts w:ascii="Arial" w:hAnsi="Arial" w:cs="Arial"/>
              </w:rPr>
              <w:t>Topics</w:t>
            </w:r>
          </w:p>
        </w:tc>
      </w:tr>
      <w:tr w:rsidR="00FD3B99" w14:paraId="6BAF9E68" w14:textId="77777777" w:rsidTr="00FD3B99">
        <w:tc>
          <w:tcPr>
            <w:tcW w:w="1075" w:type="dxa"/>
          </w:tcPr>
          <w:p w14:paraId="546409EA" w14:textId="6725A733" w:rsidR="00FD3B99" w:rsidRDefault="00FD3B99" w:rsidP="00FD3B99">
            <w:pPr>
              <w:rPr>
                <w:rFonts w:ascii="Arial" w:hAnsi="Arial" w:cs="Arial"/>
              </w:rPr>
            </w:pPr>
            <w:r>
              <w:rPr>
                <w:rFonts w:ascii="Arial" w:hAnsi="Arial" w:cs="Arial"/>
              </w:rPr>
              <w:t>1</w:t>
            </w:r>
          </w:p>
        </w:tc>
        <w:tc>
          <w:tcPr>
            <w:tcW w:w="8275" w:type="dxa"/>
          </w:tcPr>
          <w:p w14:paraId="1CDD2A61" w14:textId="0EF6B3BA" w:rsidR="00FD3B99" w:rsidRDefault="00FD3B99" w:rsidP="00FD3B99">
            <w:pPr>
              <w:rPr>
                <w:rFonts w:ascii="Arial" w:hAnsi="Arial" w:cs="Arial"/>
              </w:rPr>
            </w:pPr>
            <w:r>
              <w:rPr>
                <w:rFonts w:ascii="Arial" w:hAnsi="Arial" w:cs="Arial"/>
              </w:rPr>
              <w:t>Displacement, Velocity, Acceleration</w:t>
            </w:r>
          </w:p>
        </w:tc>
      </w:tr>
      <w:tr w:rsidR="00FD3B99" w14:paraId="038A12D2" w14:textId="77777777" w:rsidTr="00FD3B99">
        <w:tc>
          <w:tcPr>
            <w:tcW w:w="1075" w:type="dxa"/>
          </w:tcPr>
          <w:p w14:paraId="4B5CED72" w14:textId="206A380D" w:rsidR="00FD3B99" w:rsidRDefault="00FD3B99" w:rsidP="00FD3B99">
            <w:pPr>
              <w:rPr>
                <w:rFonts w:ascii="Arial" w:hAnsi="Arial" w:cs="Arial"/>
              </w:rPr>
            </w:pPr>
            <w:r>
              <w:rPr>
                <w:rFonts w:ascii="Arial" w:hAnsi="Arial" w:cs="Arial"/>
              </w:rPr>
              <w:t>2</w:t>
            </w:r>
          </w:p>
        </w:tc>
        <w:tc>
          <w:tcPr>
            <w:tcW w:w="8275" w:type="dxa"/>
          </w:tcPr>
          <w:p w14:paraId="470E1D62" w14:textId="41919182" w:rsidR="00FD3B99" w:rsidRDefault="00FD3B99" w:rsidP="00FD3B99">
            <w:pPr>
              <w:rPr>
                <w:rFonts w:ascii="Arial" w:hAnsi="Arial" w:cs="Arial"/>
              </w:rPr>
            </w:pPr>
            <w:r>
              <w:rPr>
                <w:rFonts w:ascii="Arial" w:hAnsi="Arial" w:cs="Arial"/>
              </w:rPr>
              <w:t>Linear Accelerated Motion and Projectile Motion</w:t>
            </w:r>
          </w:p>
        </w:tc>
      </w:tr>
      <w:tr w:rsidR="00FD3B99" w14:paraId="55E870D2" w14:textId="77777777" w:rsidTr="00FD3B99">
        <w:tc>
          <w:tcPr>
            <w:tcW w:w="1075" w:type="dxa"/>
          </w:tcPr>
          <w:p w14:paraId="6300AA13" w14:textId="0887EDEA" w:rsidR="00FD3B99" w:rsidRDefault="00FD3B99" w:rsidP="00FD3B99">
            <w:pPr>
              <w:rPr>
                <w:rFonts w:ascii="Arial" w:hAnsi="Arial" w:cs="Arial"/>
              </w:rPr>
            </w:pPr>
            <w:r>
              <w:rPr>
                <w:rFonts w:ascii="Arial" w:hAnsi="Arial" w:cs="Arial"/>
              </w:rPr>
              <w:t>3</w:t>
            </w:r>
          </w:p>
        </w:tc>
        <w:tc>
          <w:tcPr>
            <w:tcW w:w="8275" w:type="dxa"/>
          </w:tcPr>
          <w:p w14:paraId="2B89860D" w14:textId="0702E380" w:rsidR="00FD3B99" w:rsidRDefault="00FD3B99" w:rsidP="00FD3B99">
            <w:pPr>
              <w:rPr>
                <w:rFonts w:ascii="Arial" w:hAnsi="Arial" w:cs="Arial"/>
              </w:rPr>
            </w:pPr>
            <w:r>
              <w:rPr>
                <w:rFonts w:ascii="Arial" w:hAnsi="Arial" w:cs="Arial"/>
              </w:rPr>
              <w:t>Newton’s Three Laws of Motion</w:t>
            </w:r>
          </w:p>
        </w:tc>
      </w:tr>
      <w:tr w:rsidR="00FD3B99" w14:paraId="3B67660E" w14:textId="77777777" w:rsidTr="00FD3B99">
        <w:tc>
          <w:tcPr>
            <w:tcW w:w="1075" w:type="dxa"/>
          </w:tcPr>
          <w:p w14:paraId="513D08CC" w14:textId="14DE571B" w:rsidR="00FD3B99" w:rsidRDefault="00FD3B99" w:rsidP="00FD3B99">
            <w:pPr>
              <w:rPr>
                <w:rFonts w:ascii="Arial" w:hAnsi="Arial" w:cs="Arial"/>
              </w:rPr>
            </w:pPr>
            <w:r>
              <w:rPr>
                <w:rFonts w:ascii="Arial" w:hAnsi="Arial" w:cs="Arial"/>
              </w:rPr>
              <w:t>4</w:t>
            </w:r>
          </w:p>
        </w:tc>
        <w:tc>
          <w:tcPr>
            <w:tcW w:w="8275" w:type="dxa"/>
          </w:tcPr>
          <w:p w14:paraId="2D875227" w14:textId="6E820288" w:rsidR="00FD3B99" w:rsidRDefault="00FD3B99" w:rsidP="00FD3B99">
            <w:pPr>
              <w:rPr>
                <w:rFonts w:ascii="Arial" w:hAnsi="Arial" w:cs="Arial"/>
              </w:rPr>
            </w:pPr>
            <w:r>
              <w:rPr>
                <w:rFonts w:ascii="Arial" w:hAnsi="Arial" w:cs="Arial"/>
              </w:rPr>
              <w:t>Free Body Diagrams and Frictional Force</w:t>
            </w:r>
          </w:p>
        </w:tc>
      </w:tr>
      <w:tr w:rsidR="00FD3B99" w14:paraId="5F626C3A" w14:textId="77777777" w:rsidTr="00FD3B99">
        <w:tc>
          <w:tcPr>
            <w:tcW w:w="1075" w:type="dxa"/>
          </w:tcPr>
          <w:p w14:paraId="08C2F04B" w14:textId="0CA81FA8" w:rsidR="00FD3B99" w:rsidRDefault="00FD3B99" w:rsidP="00FD3B99">
            <w:pPr>
              <w:rPr>
                <w:rFonts w:ascii="Arial" w:hAnsi="Arial" w:cs="Arial"/>
              </w:rPr>
            </w:pPr>
            <w:r>
              <w:rPr>
                <w:rFonts w:ascii="Arial" w:hAnsi="Arial" w:cs="Arial"/>
              </w:rPr>
              <w:t>5</w:t>
            </w:r>
          </w:p>
        </w:tc>
        <w:tc>
          <w:tcPr>
            <w:tcW w:w="8275" w:type="dxa"/>
          </w:tcPr>
          <w:p w14:paraId="3989327B" w14:textId="7D3B6BB8" w:rsidR="00FD3B99" w:rsidRDefault="00FD3B99" w:rsidP="00FD3B99">
            <w:pPr>
              <w:rPr>
                <w:rFonts w:ascii="Arial" w:hAnsi="Arial" w:cs="Arial"/>
              </w:rPr>
            </w:pPr>
            <w:r>
              <w:rPr>
                <w:rFonts w:ascii="Arial" w:hAnsi="Arial" w:cs="Arial"/>
              </w:rPr>
              <w:t>Work and Energy</w:t>
            </w:r>
          </w:p>
        </w:tc>
      </w:tr>
      <w:tr w:rsidR="00FD3B99" w14:paraId="33F9D730" w14:textId="77777777" w:rsidTr="00FD3B99">
        <w:tc>
          <w:tcPr>
            <w:tcW w:w="1075" w:type="dxa"/>
          </w:tcPr>
          <w:p w14:paraId="5DDEDB37" w14:textId="6BA077BD" w:rsidR="00FD3B99" w:rsidRDefault="00FD3B99" w:rsidP="00FD3B99">
            <w:pPr>
              <w:rPr>
                <w:rFonts w:ascii="Arial" w:hAnsi="Arial" w:cs="Arial"/>
              </w:rPr>
            </w:pPr>
            <w:r>
              <w:rPr>
                <w:rFonts w:ascii="Arial" w:hAnsi="Arial" w:cs="Arial"/>
              </w:rPr>
              <w:t>6</w:t>
            </w:r>
          </w:p>
        </w:tc>
        <w:tc>
          <w:tcPr>
            <w:tcW w:w="8275" w:type="dxa"/>
          </w:tcPr>
          <w:p w14:paraId="498CA745" w14:textId="76E4CBE3" w:rsidR="00FD3B99" w:rsidRDefault="00FD3B99" w:rsidP="00FD3B99">
            <w:pPr>
              <w:rPr>
                <w:rFonts w:ascii="Arial" w:hAnsi="Arial" w:cs="Arial"/>
              </w:rPr>
            </w:pPr>
            <w:r>
              <w:rPr>
                <w:rFonts w:ascii="Arial" w:hAnsi="Arial" w:cs="Arial"/>
              </w:rPr>
              <w:t>Conservation of Mechanical Energy</w:t>
            </w:r>
          </w:p>
        </w:tc>
      </w:tr>
      <w:tr w:rsidR="00FD3B99" w14:paraId="5E4C0A5B" w14:textId="77777777" w:rsidTr="00FD3B99">
        <w:tc>
          <w:tcPr>
            <w:tcW w:w="1075" w:type="dxa"/>
          </w:tcPr>
          <w:p w14:paraId="12C10D1B" w14:textId="426EBC19" w:rsidR="00FD3B99" w:rsidRDefault="00FD3B99" w:rsidP="00FD3B99">
            <w:pPr>
              <w:rPr>
                <w:rFonts w:ascii="Arial" w:hAnsi="Arial" w:cs="Arial"/>
              </w:rPr>
            </w:pPr>
            <w:r>
              <w:rPr>
                <w:rFonts w:ascii="Arial" w:hAnsi="Arial" w:cs="Arial"/>
              </w:rPr>
              <w:t>7</w:t>
            </w:r>
          </w:p>
        </w:tc>
        <w:tc>
          <w:tcPr>
            <w:tcW w:w="8275" w:type="dxa"/>
          </w:tcPr>
          <w:p w14:paraId="13206EEC" w14:textId="03EDEAA7" w:rsidR="00FD3B99" w:rsidRDefault="00FD3B99" w:rsidP="00FD3B99">
            <w:pPr>
              <w:rPr>
                <w:rFonts w:ascii="Arial" w:hAnsi="Arial" w:cs="Arial"/>
              </w:rPr>
            </w:pPr>
            <w:r>
              <w:rPr>
                <w:rFonts w:ascii="Arial" w:hAnsi="Arial" w:cs="Arial"/>
              </w:rPr>
              <w:t>Impulse and Linear Momentum</w:t>
            </w:r>
          </w:p>
        </w:tc>
      </w:tr>
      <w:tr w:rsidR="00FD3B99" w14:paraId="100D31DB" w14:textId="77777777" w:rsidTr="00FD3B99">
        <w:tc>
          <w:tcPr>
            <w:tcW w:w="1075" w:type="dxa"/>
          </w:tcPr>
          <w:p w14:paraId="0D3FA4DE" w14:textId="49C320C3" w:rsidR="00FD3B99" w:rsidRDefault="00FD3B99" w:rsidP="00FD3B99">
            <w:pPr>
              <w:rPr>
                <w:rFonts w:ascii="Arial" w:hAnsi="Arial" w:cs="Arial"/>
              </w:rPr>
            </w:pPr>
            <w:r>
              <w:rPr>
                <w:rFonts w:ascii="Arial" w:hAnsi="Arial" w:cs="Arial"/>
              </w:rPr>
              <w:t>8</w:t>
            </w:r>
          </w:p>
        </w:tc>
        <w:tc>
          <w:tcPr>
            <w:tcW w:w="8275" w:type="dxa"/>
          </w:tcPr>
          <w:p w14:paraId="5DA4A2FA" w14:textId="393D3235" w:rsidR="00FD3B99" w:rsidRDefault="00FD3B99" w:rsidP="00FD3B99">
            <w:pPr>
              <w:rPr>
                <w:rFonts w:ascii="Arial" w:hAnsi="Arial" w:cs="Arial"/>
              </w:rPr>
            </w:pPr>
            <w:r>
              <w:rPr>
                <w:rFonts w:ascii="Arial" w:hAnsi="Arial" w:cs="Arial"/>
              </w:rPr>
              <w:t>Conservation of Linear Momentum</w:t>
            </w:r>
          </w:p>
        </w:tc>
      </w:tr>
      <w:tr w:rsidR="00FD3B99" w14:paraId="7317A67A" w14:textId="77777777" w:rsidTr="00FD3B99">
        <w:tc>
          <w:tcPr>
            <w:tcW w:w="1075" w:type="dxa"/>
          </w:tcPr>
          <w:p w14:paraId="41AC2C5E" w14:textId="7BBBE3C9" w:rsidR="00FD3B99" w:rsidRDefault="00FD3B99" w:rsidP="00FD3B99">
            <w:pPr>
              <w:rPr>
                <w:rFonts w:ascii="Arial" w:hAnsi="Arial" w:cs="Arial"/>
              </w:rPr>
            </w:pPr>
            <w:r>
              <w:rPr>
                <w:rFonts w:ascii="Arial" w:hAnsi="Arial" w:cs="Arial"/>
              </w:rPr>
              <w:t>9</w:t>
            </w:r>
          </w:p>
        </w:tc>
        <w:tc>
          <w:tcPr>
            <w:tcW w:w="8275" w:type="dxa"/>
          </w:tcPr>
          <w:p w14:paraId="052EE519" w14:textId="2BE9A34F" w:rsidR="00FD3B99" w:rsidRDefault="00FD3B99" w:rsidP="00FD3B99">
            <w:pPr>
              <w:rPr>
                <w:rFonts w:ascii="Arial" w:hAnsi="Arial" w:cs="Arial"/>
              </w:rPr>
            </w:pPr>
            <w:r>
              <w:rPr>
                <w:rFonts w:ascii="Arial" w:hAnsi="Arial" w:cs="Arial"/>
              </w:rPr>
              <w:t>Rotational Motion and Centripetal Force</w:t>
            </w:r>
          </w:p>
        </w:tc>
      </w:tr>
      <w:tr w:rsidR="00FD3B99" w14:paraId="39B44FD6" w14:textId="77777777" w:rsidTr="00FD3B99">
        <w:tc>
          <w:tcPr>
            <w:tcW w:w="1075" w:type="dxa"/>
          </w:tcPr>
          <w:p w14:paraId="10EB3D40" w14:textId="3085FBE0" w:rsidR="00FD3B99" w:rsidRDefault="00FD3B99" w:rsidP="00FD3B99">
            <w:pPr>
              <w:rPr>
                <w:rFonts w:ascii="Arial" w:hAnsi="Arial" w:cs="Arial"/>
              </w:rPr>
            </w:pPr>
            <w:r>
              <w:rPr>
                <w:rFonts w:ascii="Arial" w:hAnsi="Arial" w:cs="Arial"/>
              </w:rPr>
              <w:t>10</w:t>
            </w:r>
          </w:p>
        </w:tc>
        <w:tc>
          <w:tcPr>
            <w:tcW w:w="8275" w:type="dxa"/>
          </w:tcPr>
          <w:p w14:paraId="2B997899" w14:textId="7AA1FDCE" w:rsidR="00FD3B99" w:rsidRDefault="00FD3B99" w:rsidP="00FD3B99">
            <w:pPr>
              <w:rPr>
                <w:rFonts w:ascii="Arial" w:hAnsi="Arial" w:cs="Arial"/>
              </w:rPr>
            </w:pPr>
            <w:r>
              <w:rPr>
                <w:rFonts w:ascii="Arial" w:hAnsi="Arial" w:cs="Arial"/>
              </w:rPr>
              <w:t>Torque and Rotational Energy</w:t>
            </w:r>
          </w:p>
        </w:tc>
      </w:tr>
      <w:tr w:rsidR="00FD3B99" w14:paraId="33BD5674" w14:textId="77777777" w:rsidTr="00FD3B99">
        <w:tc>
          <w:tcPr>
            <w:tcW w:w="1075" w:type="dxa"/>
          </w:tcPr>
          <w:p w14:paraId="69424E88" w14:textId="1EB84B6A" w:rsidR="00FD3B99" w:rsidRDefault="00FD3B99" w:rsidP="00FD3B99">
            <w:pPr>
              <w:rPr>
                <w:rFonts w:ascii="Arial" w:hAnsi="Arial" w:cs="Arial"/>
              </w:rPr>
            </w:pPr>
            <w:r>
              <w:rPr>
                <w:rFonts w:ascii="Arial" w:hAnsi="Arial" w:cs="Arial"/>
              </w:rPr>
              <w:t>11</w:t>
            </w:r>
          </w:p>
        </w:tc>
        <w:tc>
          <w:tcPr>
            <w:tcW w:w="8275" w:type="dxa"/>
          </w:tcPr>
          <w:p w14:paraId="2FCBAD1F" w14:textId="3F880513" w:rsidR="00FD3B99" w:rsidRDefault="00FD3B99" w:rsidP="00FD3B99">
            <w:pPr>
              <w:rPr>
                <w:rFonts w:ascii="Arial" w:hAnsi="Arial" w:cs="Arial"/>
              </w:rPr>
            </w:pPr>
            <w:r>
              <w:rPr>
                <w:rFonts w:ascii="Arial" w:hAnsi="Arial" w:cs="Arial"/>
              </w:rPr>
              <w:t>Conservation of Angular Momentum</w:t>
            </w:r>
          </w:p>
        </w:tc>
      </w:tr>
      <w:tr w:rsidR="00FD3B99" w14:paraId="16AE276D" w14:textId="77777777" w:rsidTr="00FD3B99">
        <w:tc>
          <w:tcPr>
            <w:tcW w:w="1075" w:type="dxa"/>
          </w:tcPr>
          <w:p w14:paraId="52935FA6" w14:textId="49AC8564" w:rsidR="00FD3B99" w:rsidRDefault="00FD3B99" w:rsidP="00FD3B99">
            <w:pPr>
              <w:rPr>
                <w:rFonts w:ascii="Arial" w:hAnsi="Arial" w:cs="Arial"/>
              </w:rPr>
            </w:pPr>
            <w:r>
              <w:rPr>
                <w:rFonts w:ascii="Arial" w:hAnsi="Arial" w:cs="Arial"/>
              </w:rPr>
              <w:t>12</w:t>
            </w:r>
          </w:p>
        </w:tc>
        <w:tc>
          <w:tcPr>
            <w:tcW w:w="8275" w:type="dxa"/>
          </w:tcPr>
          <w:p w14:paraId="7AC946CD" w14:textId="72A293B2" w:rsidR="00FD3B99" w:rsidRDefault="00FD3B99" w:rsidP="00FD3B99">
            <w:pPr>
              <w:rPr>
                <w:rFonts w:ascii="Arial" w:hAnsi="Arial" w:cs="Arial"/>
              </w:rPr>
            </w:pPr>
            <w:r>
              <w:rPr>
                <w:rFonts w:ascii="Arial" w:hAnsi="Arial" w:cs="Arial"/>
              </w:rPr>
              <w:t>Oscillation and Simple Harmonic Motion</w:t>
            </w:r>
          </w:p>
        </w:tc>
      </w:tr>
      <w:tr w:rsidR="00FD3B99" w14:paraId="52324399" w14:textId="77777777" w:rsidTr="00FD3B99">
        <w:tc>
          <w:tcPr>
            <w:tcW w:w="1075" w:type="dxa"/>
          </w:tcPr>
          <w:p w14:paraId="61A3B0E5" w14:textId="752E0A67" w:rsidR="00FD3B99" w:rsidRDefault="00FD3B99" w:rsidP="00FD3B99">
            <w:pPr>
              <w:rPr>
                <w:rFonts w:ascii="Arial" w:hAnsi="Arial" w:cs="Arial"/>
              </w:rPr>
            </w:pPr>
            <w:r>
              <w:rPr>
                <w:rFonts w:ascii="Arial" w:hAnsi="Arial" w:cs="Arial"/>
              </w:rPr>
              <w:t>13</w:t>
            </w:r>
          </w:p>
        </w:tc>
        <w:tc>
          <w:tcPr>
            <w:tcW w:w="8275" w:type="dxa"/>
          </w:tcPr>
          <w:p w14:paraId="5FC636D4" w14:textId="1409F4FE" w:rsidR="00FD3B99" w:rsidRDefault="00FD3B99" w:rsidP="00FD3B99">
            <w:pPr>
              <w:rPr>
                <w:rFonts w:ascii="Arial" w:hAnsi="Arial" w:cs="Arial"/>
              </w:rPr>
            </w:pPr>
            <w:r>
              <w:rPr>
                <w:rFonts w:ascii="Arial" w:hAnsi="Arial" w:cs="Arial"/>
              </w:rPr>
              <w:t>Temperature and Heat</w:t>
            </w:r>
          </w:p>
        </w:tc>
      </w:tr>
      <w:tr w:rsidR="00FD3B99" w14:paraId="34A30F39" w14:textId="77777777" w:rsidTr="00FD3B99">
        <w:tc>
          <w:tcPr>
            <w:tcW w:w="1075" w:type="dxa"/>
          </w:tcPr>
          <w:p w14:paraId="4608B634" w14:textId="254A9064" w:rsidR="00FD3B99" w:rsidRDefault="00FD3B99" w:rsidP="00FD3B99">
            <w:pPr>
              <w:rPr>
                <w:rFonts w:ascii="Arial" w:hAnsi="Arial" w:cs="Arial"/>
              </w:rPr>
            </w:pPr>
            <w:r>
              <w:rPr>
                <w:rFonts w:ascii="Arial" w:hAnsi="Arial" w:cs="Arial"/>
              </w:rPr>
              <w:t>14</w:t>
            </w:r>
          </w:p>
        </w:tc>
        <w:tc>
          <w:tcPr>
            <w:tcW w:w="8275" w:type="dxa"/>
          </w:tcPr>
          <w:p w14:paraId="5742B192" w14:textId="529FD13C" w:rsidR="00FD3B99" w:rsidRDefault="00FD3B99" w:rsidP="00FD3B99">
            <w:pPr>
              <w:rPr>
                <w:rFonts w:ascii="Arial" w:hAnsi="Arial" w:cs="Arial"/>
              </w:rPr>
            </w:pPr>
            <w:r>
              <w:rPr>
                <w:rFonts w:ascii="Arial" w:hAnsi="Arial" w:cs="Arial"/>
              </w:rPr>
              <w:t>Laws of Thermodynamics and Entropy</w:t>
            </w:r>
          </w:p>
        </w:tc>
      </w:tr>
      <w:tr w:rsidR="00FD3B99" w14:paraId="736D8306" w14:textId="77777777" w:rsidTr="00FD3B99">
        <w:tc>
          <w:tcPr>
            <w:tcW w:w="1075" w:type="dxa"/>
          </w:tcPr>
          <w:p w14:paraId="092DDEF2" w14:textId="59A115C8" w:rsidR="00FD3B99" w:rsidRDefault="00FD3B99" w:rsidP="00FD3B99">
            <w:pPr>
              <w:rPr>
                <w:rFonts w:ascii="Arial" w:hAnsi="Arial" w:cs="Arial"/>
              </w:rPr>
            </w:pPr>
            <w:r>
              <w:rPr>
                <w:rFonts w:ascii="Arial" w:hAnsi="Arial" w:cs="Arial"/>
              </w:rPr>
              <w:t xml:space="preserve">15 </w:t>
            </w:r>
          </w:p>
        </w:tc>
        <w:tc>
          <w:tcPr>
            <w:tcW w:w="8275" w:type="dxa"/>
          </w:tcPr>
          <w:p w14:paraId="3FCE966C" w14:textId="0DDD0239" w:rsidR="00FD3B99" w:rsidRDefault="00FD3B99" w:rsidP="00FD3B99">
            <w:pPr>
              <w:rPr>
                <w:rFonts w:ascii="Arial" w:hAnsi="Arial" w:cs="Arial"/>
              </w:rPr>
            </w:pPr>
            <w:r>
              <w:rPr>
                <w:rFonts w:ascii="Arial" w:hAnsi="Arial" w:cs="Arial"/>
              </w:rPr>
              <w:t>Review</w:t>
            </w:r>
          </w:p>
        </w:tc>
      </w:tr>
      <w:tr w:rsidR="00FD3B99" w14:paraId="054BD8A7" w14:textId="77777777" w:rsidTr="00FD3B99">
        <w:tc>
          <w:tcPr>
            <w:tcW w:w="1075" w:type="dxa"/>
          </w:tcPr>
          <w:p w14:paraId="2F67CC06" w14:textId="2589C308" w:rsidR="00FD3B99" w:rsidRDefault="00FD3B99" w:rsidP="00FD3B99">
            <w:pPr>
              <w:rPr>
                <w:rFonts w:ascii="Arial" w:hAnsi="Arial" w:cs="Arial"/>
              </w:rPr>
            </w:pPr>
            <w:r>
              <w:rPr>
                <w:rFonts w:ascii="Arial" w:hAnsi="Arial" w:cs="Arial"/>
              </w:rPr>
              <w:t>16</w:t>
            </w:r>
          </w:p>
        </w:tc>
        <w:tc>
          <w:tcPr>
            <w:tcW w:w="8275" w:type="dxa"/>
          </w:tcPr>
          <w:p w14:paraId="3C0ACC49" w14:textId="3AD6A774" w:rsidR="00FD3B99" w:rsidRDefault="00FD3B99" w:rsidP="00FD3B99">
            <w:pPr>
              <w:rPr>
                <w:rFonts w:ascii="Arial" w:hAnsi="Arial" w:cs="Arial"/>
              </w:rPr>
            </w:pPr>
            <w:r>
              <w:rPr>
                <w:rFonts w:ascii="Arial" w:hAnsi="Arial" w:cs="Arial"/>
              </w:rPr>
              <w:t>Final Exam</w:t>
            </w:r>
          </w:p>
        </w:tc>
      </w:tr>
    </w:tbl>
    <w:p w14:paraId="62A39A3A" w14:textId="57E2EDCC" w:rsidR="005B58DE" w:rsidRDefault="005B58DE" w:rsidP="005B58DE">
      <w:pPr>
        <w:rPr>
          <w:rFonts w:ascii="Arial" w:hAnsi="Arial" w:cs="Arial"/>
        </w:rPr>
      </w:pPr>
      <w:bookmarkStart w:id="17" w:name="_GoBack"/>
      <w:bookmarkEnd w:id="17"/>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lastRenderedPageBreak/>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lastRenderedPageBreak/>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 xml:space="preserve">early in the semester so that we have adequate </w:t>
      </w:r>
      <w:r w:rsidRPr="009265B0">
        <w:rPr>
          <w:rFonts w:ascii="Arial" w:hAnsi="Arial" w:cs="Arial"/>
        </w:rPr>
        <w:lastRenderedPageBreak/>
        <w:t>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FD3B99"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FD3B99"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FD3B99"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FD3B99"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FD3B99"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FD3B99"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FD3B99"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6237E"/>
    <w:multiLevelType w:val="hybridMultilevel"/>
    <w:tmpl w:val="822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6"/>
  </w:num>
  <w:num w:numId="3">
    <w:abstractNumId w:val="18"/>
  </w:num>
  <w:num w:numId="4">
    <w:abstractNumId w:val="17"/>
  </w:num>
  <w:num w:numId="5">
    <w:abstractNumId w:val="3"/>
  </w:num>
  <w:num w:numId="6">
    <w:abstractNumId w:val="33"/>
  </w:num>
  <w:num w:numId="7">
    <w:abstractNumId w:val="12"/>
  </w:num>
  <w:num w:numId="8">
    <w:abstractNumId w:val="25"/>
  </w:num>
  <w:num w:numId="9">
    <w:abstractNumId w:val="14"/>
  </w:num>
  <w:num w:numId="10">
    <w:abstractNumId w:val="24"/>
  </w:num>
  <w:num w:numId="11">
    <w:abstractNumId w:val="9"/>
  </w:num>
  <w:num w:numId="12">
    <w:abstractNumId w:val="16"/>
  </w:num>
  <w:num w:numId="13">
    <w:abstractNumId w:val="5"/>
  </w:num>
  <w:num w:numId="14">
    <w:abstractNumId w:val="35"/>
  </w:num>
  <w:num w:numId="15">
    <w:abstractNumId w:val="34"/>
  </w:num>
  <w:num w:numId="16">
    <w:abstractNumId w:val="20"/>
  </w:num>
  <w:num w:numId="17">
    <w:abstractNumId w:val="6"/>
  </w:num>
  <w:num w:numId="18">
    <w:abstractNumId w:val="21"/>
  </w:num>
  <w:num w:numId="19">
    <w:abstractNumId w:val="2"/>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7"/>
  </w:num>
  <w:num w:numId="27">
    <w:abstractNumId w:val="1"/>
  </w:num>
  <w:num w:numId="28">
    <w:abstractNumId w:val="19"/>
  </w:num>
  <w:num w:numId="29">
    <w:abstractNumId w:val="4"/>
  </w:num>
  <w:num w:numId="30">
    <w:abstractNumId w:val="27"/>
  </w:num>
  <w:num w:numId="31">
    <w:abstractNumId w:val="0"/>
  </w:num>
  <w:num w:numId="32">
    <w:abstractNumId w:val="11"/>
  </w:num>
  <w:num w:numId="33">
    <w:abstractNumId w:val="30"/>
  </w:num>
  <w:num w:numId="34">
    <w:abstractNumId w:val="22"/>
  </w:num>
  <w:num w:numId="35">
    <w:abstractNumId w:val="8"/>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268E6"/>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DA53E0"/>
    <w:rsid w:val="00E00126"/>
    <w:rsid w:val="00E04E64"/>
    <w:rsid w:val="00E13CC6"/>
    <w:rsid w:val="00E54928"/>
    <w:rsid w:val="00EB23B9"/>
    <w:rsid w:val="00ED7B56"/>
    <w:rsid w:val="00EE2F97"/>
    <w:rsid w:val="00F306F6"/>
    <w:rsid w:val="00F628F2"/>
    <w:rsid w:val="00FA20F9"/>
    <w:rsid w:val="00FB1782"/>
    <w:rsid w:val="00FD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FD3B9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8140-B4E9-4DDD-84F9-8397516F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4</cp:revision>
  <dcterms:created xsi:type="dcterms:W3CDTF">2022-04-29T18:47:00Z</dcterms:created>
  <dcterms:modified xsi:type="dcterms:W3CDTF">2024-02-07T18:09:00Z</dcterms:modified>
</cp:coreProperties>
</file>